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68"/>
        <w:gridCol w:w="6030"/>
      </w:tblGrid>
      <w:tr w:rsidR="002775EF" w:rsidTr="002775EF">
        <w:trPr>
          <w:jc w:val="center"/>
        </w:trPr>
        <w:tc>
          <w:tcPr>
            <w:tcW w:w="4068" w:type="dxa"/>
          </w:tcPr>
          <w:p w:rsidR="002775EF" w:rsidRDefault="002775EF" w:rsidP="002775EF">
            <w:pPr>
              <w:jc w:val="left"/>
              <w:rPr>
                <w:b/>
                <w:bCs/>
                <w:sz w:val="32"/>
                <w:szCs w:val="32"/>
                <w:u w:val="single"/>
              </w:rPr>
            </w:pPr>
            <w:r>
              <w:rPr>
                <w:b/>
                <w:noProof/>
                <w:sz w:val="36"/>
                <w:szCs w:val="36"/>
              </w:rPr>
              <w:drawing>
                <wp:inline distT="0" distB="0" distL="0" distR="0" wp14:anchorId="2CE7B82C" wp14:editId="509128DB">
                  <wp:extent cx="2390037" cy="63795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4029" cy="639019"/>
                          </a:xfrm>
                          <a:prstGeom prst="rect">
                            <a:avLst/>
                          </a:prstGeom>
                          <a:noFill/>
                        </pic:spPr>
                      </pic:pic>
                    </a:graphicData>
                  </a:graphic>
                </wp:inline>
              </w:drawing>
            </w:r>
          </w:p>
        </w:tc>
        <w:tc>
          <w:tcPr>
            <w:tcW w:w="6030" w:type="dxa"/>
          </w:tcPr>
          <w:p w:rsidR="002775EF" w:rsidRDefault="002775EF" w:rsidP="002775EF">
            <w:pPr>
              <w:jc w:val="left"/>
              <w:rPr>
                <w:b/>
                <w:bCs/>
                <w:sz w:val="32"/>
                <w:szCs w:val="32"/>
                <w:u w:val="single"/>
              </w:rPr>
            </w:pPr>
            <w:r>
              <w:rPr>
                <w:noProof/>
              </w:rPr>
              <w:drawing>
                <wp:inline distT="0" distB="0" distL="0" distR="0" wp14:anchorId="6BD92E3A" wp14:editId="05CF4AA7">
                  <wp:extent cx="4763135" cy="520700"/>
                  <wp:effectExtent l="0" t="0" r="0" b="0"/>
                  <wp:docPr id="6" name="Picture 6" descr="http://web.dfa.ie/uploads/images/Embassies/Logos/perm03_e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dfa.ie/uploads/images/Embassies/Logos/perm03_eng.gif"/>
                          <pic:cNvPicPr>
                            <a:picLocks noChangeAspect="1" noChangeArrowheads="1"/>
                          </pic:cNvPicPr>
                        </pic:nvPicPr>
                        <pic:blipFill rotWithShape="1">
                          <a:blip r:embed="rId10">
                            <a:extLst>
                              <a:ext uri="{28A0092B-C50C-407E-A947-70E740481C1C}">
                                <a14:useLocalDpi xmlns:a14="http://schemas.microsoft.com/office/drawing/2010/main" val="0"/>
                              </a:ext>
                            </a:extLst>
                          </a:blip>
                          <a:srcRect l="-13524" r="-13524"/>
                          <a:stretch/>
                        </pic:blipFill>
                        <pic:spPr bwMode="auto">
                          <a:xfrm>
                            <a:off x="0" y="0"/>
                            <a:ext cx="4763135" cy="520700"/>
                          </a:xfrm>
                          <a:prstGeom prst="rect">
                            <a:avLst/>
                          </a:prstGeom>
                          <a:noFill/>
                          <a:ln>
                            <a:noFill/>
                          </a:ln>
                        </pic:spPr>
                      </pic:pic>
                    </a:graphicData>
                  </a:graphic>
                </wp:inline>
              </w:drawing>
            </w:r>
          </w:p>
        </w:tc>
      </w:tr>
    </w:tbl>
    <w:p w:rsidR="00A306FC" w:rsidRDefault="002775EF" w:rsidP="002775EF">
      <w:pPr>
        <w:jc w:val="left"/>
        <w:rPr>
          <w:b/>
          <w:bCs/>
          <w:sz w:val="32"/>
          <w:szCs w:val="32"/>
          <w:u w:val="single"/>
        </w:rPr>
      </w:pPr>
      <w:r>
        <w:rPr>
          <w:b/>
          <w:bCs/>
          <w:sz w:val="32"/>
          <w:szCs w:val="32"/>
          <w:u w:val="single"/>
        </w:rPr>
        <w:t xml:space="preserve"> </w:t>
      </w:r>
    </w:p>
    <w:p w:rsidR="00DD055B" w:rsidRPr="00DD055B" w:rsidRDefault="001A7EAB" w:rsidP="001A7EAB">
      <w:pPr>
        <w:rPr>
          <w:b/>
          <w:bCs/>
          <w:sz w:val="32"/>
          <w:szCs w:val="32"/>
          <w:u w:val="single"/>
        </w:rPr>
      </w:pPr>
      <w:r w:rsidRPr="00DD055B">
        <w:rPr>
          <w:b/>
          <w:bCs/>
          <w:sz w:val="32"/>
          <w:szCs w:val="32"/>
          <w:u w:val="single"/>
        </w:rPr>
        <w:t xml:space="preserve">ECOSOC Humanitarian Affairs Segment Side Event </w:t>
      </w:r>
    </w:p>
    <w:p w:rsidR="00EC1BC6" w:rsidRDefault="001A7EAB" w:rsidP="001A7EAB">
      <w:pPr>
        <w:rPr>
          <w:b/>
          <w:bCs/>
          <w:sz w:val="32"/>
          <w:szCs w:val="32"/>
          <w:u w:val="single"/>
        </w:rPr>
      </w:pPr>
      <w:r w:rsidRPr="00DD055B">
        <w:rPr>
          <w:b/>
          <w:bCs/>
          <w:sz w:val="32"/>
          <w:szCs w:val="32"/>
          <w:u w:val="single"/>
        </w:rPr>
        <w:t>25 June 2014, 1.15pm-2.</w:t>
      </w:r>
      <w:r w:rsidR="00227A29">
        <w:rPr>
          <w:b/>
          <w:bCs/>
          <w:sz w:val="32"/>
          <w:szCs w:val="32"/>
          <w:u w:val="single"/>
        </w:rPr>
        <w:t>3</w:t>
      </w:r>
      <w:r w:rsidRPr="00DD055B">
        <w:rPr>
          <w:b/>
          <w:bCs/>
          <w:sz w:val="32"/>
          <w:szCs w:val="32"/>
          <w:u w:val="single"/>
        </w:rPr>
        <w:t>0pm</w:t>
      </w:r>
      <w:r w:rsidR="00DD055B">
        <w:rPr>
          <w:b/>
          <w:bCs/>
          <w:sz w:val="32"/>
          <w:szCs w:val="32"/>
          <w:u w:val="single"/>
        </w:rPr>
        <w:t xml:space="preserve"> North Lawn Building Room 5</w:t>
      </w:r>
    </w:p>
    <w:p w:rsidR="002775EF" w:rsidRPr="002775EF" w:rsidRDefault="002775EF" w:rsidP="001A7EAB">
      <w:pPr>
        <w:rPr>
          <w:b/>
          <w:bCs/>
          <w:sz w:val="28"/>
          <w:szCs w:val="28"/>
          <w:u w:val="single"/>
        </w:rPr>
      </w:pPr>
    </w:p>
    <w:p w:rsidR="002775EF" w:rsidRPr="002775EF" w:rsidRDefault="002775EF" w:rsidP="002775EF">
      <w:pPr>
        <w:rPr>
          <w:b/>
          <w:bCs/>
          <w:sz w:val="28"/>
          <w:szCs w:val="28"/>
        </w:rPr>
      </w:pPr>
      <w:r w:rsidRPr="002775EF">
        <w:rPr>
          <w:b/>
          <w:bCs/>
          <w:sz w:val="28"/>
          <w:szCs w:val="28"/>
        </w:rPr>
        <w:t>Light lunch served from 1pm</w:t>
      </w:r>
    </w:p>
    <w:p w:rsidR="001A7EAB" w:rsidRDefault="001A7EAB" w:rsidP="0014182E">
      <w:pPr>
        <w:jc w:val="left"/>
        <w:rPr>
          <w:b/>
          <w:bCs/>
        </w:rPr>
      </w:pPr>
    </w:p>
    <w:tbl>
      <w:tblPr>
        <w:tblStyle w:val="TableGrid"/>
        <w:tblW w:w="0" w:type="auto"/>
        <w:shd w:val="clear" w:color="auto" w:fill="95B3D7" w:themeFill="accent1" w:themeFillTint="99"/>
        <w:tblLook w:val="04A0" w:firstRow="1" w:lastRow="0" w:firstColumn="1" w:lastColumn="0" w:noHBand="0" w:noVBand="1"/>
      </w:tblPr>
      <w:tblGrid>
        <w:gridCol w:w="9576"/>
      </w:tblGrid>
      <w:tr w:rsidR="00DD055B" w:rsidRPr="00DD055B" w:rsidTr="00DD055B">
        <w:trPr>
          <w:trHeight w:val="530"/>
        </w:trPr>
        <w:tc>
          <w:tcPr>
            <w:tcW w:w="9576" w:type="dxa"/>
            <w:shd w:val="clear" w:color="auto" w:fill="95B3D7" w:themeFill="accent1" w:themeFillTint="99"/>
          </w:tcPr>
          <w:p w:rsidR="00DD055B" w:rsidRPr="00DD055B" w:rsidRDefault="00DD055B" w:rsidP="00DD055B">
            <w:pPr>
              <w:rPr>
                <w:b/>
                <w:bCs/>
                <w:sz w:val="32"/>
                <w:szCs w:val="32"/>
              </w:rPr>
            </w:pPr>
            <w:r w:rsidRPr="00DD055B">
              <w:rPr>
                <w:b/>
                <w:bCs/>
                <w:sz w:val="32"/>
                <w:szCs w:val="32"/>
              </w:rPr>
              <w:t>Impact of Gender Equality Programming on Humanitarian Outcomes</w:t>
            </w:r>
          </w:p>
        </w:tc>
      </w:tr>
    </w:tbl>
    <w:p w:rsidR="00DD055B" w:rsidRDefault="00DD055B" w:rsidP="0014182E">
      <w:pPr>
        <w:jc w:val="left"/>
        <w:rPr>
          <w:b/>
          <w:bCs/>
        </w:rPr>
      </w:pPr>
    </w:p>
    <w:p w:rsidR="00CF3763" w:rsidRPr="004B2F0D" w:rsidRDefault="00CF3763" w:rsidP="00F56213">
      <w:pPr>
        <w:jc w:val="both"/>
        <w:rPr>
          <w:b/>
          <w:bCs/>
          <w:u w:val="single"/>
        </w:rPr>
      </w:pPr>
      <w:r w:rsidRPr="004B2F0D">
        <w:rPr>
          <w:b/>
          <w:bCs/>
          <w:u w:val="single"/>
        </w:rPr>
        <w:t>Rationale of Side Event</w:t>
      </w:r>
    </w:p>
    <w:p w:rsidR="006D1CA6" w:rsidRPr="001A7EAB" w:rsidRDefault="006D1CA6" w:rsidP="00F56213">
      <w:pPr>
        <w:jc w:val="both"/>
      </w:pPr>
      <w:r w:rsidRPr="001A7EAB">
        <w:t xml:space="preserve">Without the adequate integration of gender equality and women’s empowerment into the planning, coordination </w:t>
      </w:r>
      <w:r w:rsidR="0048228B">
        <w:t xml:space="preserve">and implementation </w:t>
      </w:r>
      <w:r w:rsidRPr="001A7EAB">
        <w:t>of humanitarian action, the different needs and vulnerabilities of the women, men, boys and girls of crises affected populations will neither be adequately identified nor properly addressed</w:t>
      </w:r>
      <w:r w:rsidR="009D5219" w:rsidRPr="001A7EAB">
        <w:t xml:space="preserve">, thus rendering </w:t>
      </w:r>
      <w:r w:rsidRPr="001A7EAB">
        <w:t>gender-blind humanitarian action exclusive</w:t>
      </w:r>
      <w:r w:rsidR="009D5219" w:rsidRPr="001A7EAB">
        <w:t xml:space="preserve"> and ineffective</w:t>
      </w:r>
      <w:r w:rsidRPr="001A7EAB">
        <w:t xml:space="preserve">.  </w:t>
      </w:r>
    </w:p>
    <w:p w:rsidR="006D1CA6" w:rsidRPr="001A7EAB" w:rsidRDefault="006D1CA6" w:rsidP="00F56213">
      <w:pPr>
        <w:jc w:val="both"/>
      </w:pPr>
    </w:p>
    <w:p w:rsidR="0048228B" w:rsidRPr="0048228B" w:rsidRDefault="0048228B" w:rsidP="00F56213">
      <w:pPr>
        <w:pStyle w:val="FootnoteText"/>
        <w:jc w:val="both"/>
        <w:rPr>
          <w:sz w:val="22"/>
          <w:szCs w:val="22"/>
        </w:rPr>
      </w:pPr>
      <w:r>
        <w:rPr>
          <w:sz w:val="22"/>
          <w:szCs w:val="22"/>
        </w:rPr>
        <w:t>Consequently</w:t>
      </w:r>
      <w:r w:rsidR="006D1CA6" w:rsidRPr="001A7EAB">
        <w:rPr>
          <w:sz w:val="22"/>
          <w:szCs w:val="22"/>
        </w:rPr>
        <w:t xml:space="preserve">, the issue of gender equality humanitarian programming speaks directly to the overall theme of 2014’s ECOSOC Humanitarian Affairs Segment of </w:t>
      </w:r>
      <w:r w:rsidRPr="0048228B">
        <w:rPr>
          <w:i/>
          <w:sz w:val="22"/>
          <w:szCs w:val="22"/>
        </w:rPr>
        <w:t>“The future of humanitarian affairs: towards greater inclusiveness, coordination, interoperability and effectiveness”</w:t>
      </w:r>
      <w:r w:rsidRPr="0048228B">
        <w:rPr>
          <w:sz w:val="22"/>
          <w:szCs w:val="22"/>
        </w:rPr>
        <w:t>.</w:t>
      </w:r>
    </w:p>
    <w:p w:rsidR="006D1CA6" w:rsidRPr="001A7EAB" w:rsidRDefault="006D1CA6" w:rsidP="00F56213">
      <w:pPr>
        <w:jc w:val="both"/>
      </w:pPr>
    </w:p>
    <w:p w:rsidR="009E26A2" w:rsidRPr="001A7EAB" w:rsidRDefault="006D1CA6" w:rsidP="00F56213">
      <w:pPr>
        <w:jc w:val="both"/>
      </w:pPr>
      <w:r w:rsidRPr="001A7EAB">
        <w:t xml:space="preserve">This side event will demonstrate </w:t>
      </w:r>
      <w:r w:rsidR="009D5219" w:rsidRPr="001A7EAB">
        <w:t xml:space="preserve">how the integration of gender equality and women’s empowerment </w:t>
      </w:r>
      <w:r w:rsidR="009E26A2" w:rsidRPr="001A7EAB">
        <w:t xml:space="preserve">into all facets of humanitarian planning and programming is a </w:t>
      </w:r>
      <w:r w:rsidR="009D5219" w:rsidRPr="001A7EAB">
        <w:t xml:space="preserve">key enabler in ensuring effective and </w:t>
      </w:r>
      <w:r w:rsidRPr="001A7EAB">
        <w:t xml:space="preserve">positive humanitarian outcomes for beneficiary populations.  </w:t>
      </w:r>
    </w:p>
    <w:p w:rsidR="009E26A2" w:rsidRPr="001A7EAB" w:rsidRDefault="009E26A2" w:rsidP="00F56213">
      <w:pPr>
        <w:jc w:val="both"/>
      </w:pPr>
    </w:p>
    <w:p w:rsidR="009E26A2" w:rsidRPr="001A7EAB" w:rsidRDefault="009E26A2" w:rsidP="00F56213">
      <w:pPr>
        <w:jc w:val="both"/>
      </w:pPr>
      <w:r w:rsidRPr="001A7EAB">
        <w:t xml:space="preserve">The side-event will be centered around </w:t>
      </w:r>
      <w:r w:rsidR="009D5219" w:rsidRPr="001A7EAB">
        <w:t>the</w:t>
      </w:r>
      <w:r w:rsidR="006D1CA6" w:rsidRPr="001A7EAB">
        <w:t xml:space="preserve"> presentation of a research study commissioned by the </w:t>
      </w:r>
      <w:r w:rsidR="006D1CA6" w:rsidRPr="001A7EAB">
        <w:rPr>
          <w:i/>
        </w:rPr>
        <w:t>IASC’s Reference Group for Gender Equality in Humanitarian Action</w:t>
      </w:r>
      <w:r w:rsidR="006D1CA6" w:rsidRPr="001A7EAB">
        <w:t xml:space="preserve"> </w:t>
      </w:r>
      <w:r w:rsidRPr="001A7EAB">
        <w:t xml:space="preserve">on </w:t>
      </w:r>
      <w:r w:rsidR="006D1CA6" w:rsidRPr="001A7EAB">
        <w:t xml:space="preserve">the impact of </w:t>
      </w:r>
      <w:r w:rsidR="0048228B">
        <w:t>gender-equality programming</w:t>
      </w:r>
      <w:r w:rsidR="006D1CA6" w:rsidRPr="001A7EAB">
        <w:t xml:space="preserve"> on the humanitarian outcomes for assisted beneficiary populations.</w:t>
      </w:r>
      <w:r w:rsidRPr="001A7EAB">
        <w:t xml:space="preserve">  In addition, a representative from one of the case-study communities will speak of her first hand experiences of</w:t>
      </w:r>
      <w:r w:rsidR="006D1CA6" w:rsidRPr="001A7EAB">
        <w:t xml:space="preserve"> </w:t>
      </w:r>
      <w:r w:rsidRPr="001A7EAB">
        <w:t>gender equality programming, in terms of what has worked, what has not and what more can be done.</w:t>
      </w:r>
      <w:r w:rsidR="006D1CA6" w:rsidRPr="001A7EAB">
        <w:t xml:space="preserve"> </w:t>
      </w:r>
    </w:p>
    <w:p w:rsidR="009E26A2" w:rsidRPr="001A7EAB" w:rsidRDefault="009E26A2" w:rsidP="00F56213">
      <w:pPr>
        <w:jc w:val="both"/>
      </w:pPr>
    </w:p>
    <w:p w:rsidR="006D1CA6" w:rsidRPr="001A7EAB" w:rsidRDefault="009E26A2" w:rsidP="00F56213">
      <w:pPr>
        <w:jc w:val="both"/>
      </w:pPr>
      <w:r w:rsidRPr="001A7EAB">
        <w:t xml:space="preserve">This will be followed up by inputs from senior representatives of the humanitarian system presenting their perspectives on the integration of gender-equality into </w:t>
      </w:r>
      <w:r w:rsidRPr="001A7EAB">
        <w:rPr>
          <w:i/>
        </w:rPr>
        <w:t>the future of humanitarian affairs</w:t>
      </w:r>
      <w:r w:rsidRPr="001A7EAB">
        <w:t xml:space="preserve"> and </w:t>
      </w:r>
      <w:r w:rsidR="008A4470" w:rsidRPr="001A7EAB">
        <w:t>initiatives from their respective agencies.</w:t>
      </w:r>
    </w:p>
    <w:p w:rsidR="00804B72" w:rsidRPr="001A7EAB" w:rsidRDefault="00804B72" w:rsidP="00F56213">
      <w:pPr>
        <w:jc w:val="both"/>
        <w:rPr>
          <w:bCs/>
        </w:rPr>
      </w:pPr>
    </w:p>
    <w:p w:rsidR="00651D2B" w:rsidRPr="004B2F0D" w:rsidRDefault="008A4470" w:rsidP="00CF3763">
      <w:pPr>
        <w:jc w:val="left"/>
        <w:rPr>
          <w:b/>
          <w:bCs/>
          <w:u w:val="single"/>
        </w:rPr>
      </w:pPr>
      <w:r w:rsidRPr="004B2F0D">
        <w:rPr>
          <w:b/>
          <w:bCs/>
          <w:u w:val="single"/>
        </w:rPr>
        <w:t>Event Format (1hr 15mins)</w:t>
      </w:r>
      <w:r w:rsidR="00EC1BC6" w:rsidRPr="004B2F0D">
        <w:rPr>
          <w:b/>
          <w:bCs/>
          <w:u w:val="single"/>
        </w:rPr>
        <w:t>:</w:t>
      </w:r>
    </w:p>
    <w:tbl>
      <w:tblPr>
        <w:tblStyle w:val="TableGrid"/>
        <w:tblW w:w="10368" w:type="dxa"/>
        <w:tblInd w:w="-252" w:type="dxa"/>
        <w:tblLook w:val="04A0" w:firstRow="1" w:lastRow="0" w:firstColumn="1" w:lastColumn="0" w:noHBand="0" w:noVBand="1"/>
      </w:tblPr>
      <w:tblGrid>
        <w:gridCol w:w="3192"/>
        <w:gridCol w:w="5433"/>
        <w:gridCol w:w="1743"/>
      </w:tblGrid>
      <w:tr w:rsidR="0037621E" w:rsidRPr="001A7EAB" w:rsidTr="00EC1BC6">
        <w:tc>
          <w:tcPr>
            <w:tcW w:w="3192" w:type="dxa"/>
            <w:vAlign w:val="center"/>
          </w:tcPr>
          <w:p w:rsidR="0037621E" w:rsidRPr="001A7EAB" w:rsidRDefault="004B2F0D" w:rsidP="0037621E">
            <w:pPr>
              <w:jc w:val="left"/>
              <w:rPr>
                <w:b/>
                <w:i/>
                <w:sz w:val="21"/>
                <w:szCs w:val="21"/>
              </w:rPr>
            </w:pPr>
            <w:r>
              <w:rPr>
                <w:b/>
                <w:i/>
                <w:sz w:val="21"/>
                <w:szCs w:val="21"/>
              </w:rPr>
              <w:t>Focal Person</w:t>
            </w:r>
          </w:p>
        </w:tc>
        <w:tc>
          <w:tcPr>
            <w:tcW w:w="5433" w:type="dxa"/>
            <w:vAlign w:val="center"/>
          </w:tcPr>
          <w:p w:rsidR="0037621E" w:rsidRPr="001A7EAB" w:rsidRDefault="0037621E" w:rsidP="0037621E">
            <w:pPr>
              <w:jc w:val="left"/>
              <w:rPr>
                <w:b/>
                <w:i/>
                <w:sz w:val="21"/>
                <w:szCs w:val="21"/>
              </w:rPr>
            </w:pPr>
            <w:r w:rsidRPr="001A7EAB">
              <w:rPr>
                <w:b/>
                <w:i/>
                <w:sz w:val="21"/>
                <w:szCs w:val="21"/>
              </w:rPr>
              <w:t>Topic of Discussion</w:t>
            </w:r>
          </w:p>
        </w:tc>
        <w:tc>
          <w:tcPr>
            <w:tcW w:w="1743" w:type="dxa"/>
            <w:vAlign w:val="center"/>
          </w:tcPr>
          <w:p w:rsidR="0037621E" w:rsidRPr="001A7EAB" w:rsidRDefault="0037621E" w:rsidP="0037621E">
            <w:pPr>
              <w:jc w:val="left"/>
              <w:rPr>
                <w:b/>
                <w:bCs/>
                <w:i/>
                <w:sz w:val="21"/>
                <w:szCs w:val="21"/>
              </w:rPr>
            </w:pPr>
            <w:r w:rsidRPr="001A7EAB">
              <w:rPr>
                <w:b/>
                <w:bCs/>
                <w:i/>
                <w:sz w:val="21"/>
                <w:szCs w:val="21"/>
              </w:rPr>
              <w:t>Allotted Time</w:t>
            </w:r>
          </w:p>
        </w:tc>
      </w:tr>
      <w:tr w:rsidR="0037621E" w:rsidRPr="001A7EAB" w:rsidTr="00EC1BC6">
        <w:tc>
          <w:tcPr>
            <w:tcW w:w="3192" w:type="dxa"/>
            <w:vAlign w:val="center"/>
          </w:tcPr>
          <w:p w:rsidR="0037621E" w:rsidRPr="001A7EAB" w:rsidRDefault="0037621E" w:rsidP="0037621E">
            <w:pPr>
              <w:jc w:val="left"/>
              <w:rPr>
                <w:b/>
                <w:bCs/>
                <w:sz w:val="21"/>
                <w:szCs w:val="21"/>
              </w:rPr>
            </w:pPr>
            <w:r w:rsidRPr="001A7EAB">
              <w:rPr>
                <w:b/>
                <w:i/>
                <w:sz w:val="21"/>
                <w:szCs w:val="21"/>
              </w:rPr>
              <w:t>Moderator –</w:t>
            </w:r>
            <w:r w:rsidRPr="001A7EAB">
              <w:rPr>
                <w:sz w:val="21"/>
                <w:szCs w:val="21"/>
              </w:rPr>
              <w:t xml:space="preserve"> Kevin Kelly, Director of Emergencies and Recovery in </w:t>
            </w:r>
            <w:proofErr w:type="spellStart"/>
            <w:r w:rsidRPr="001A7EAB">
              <w:rPr>
                <w:sz w:val="21"/>
                <w:szCs w:val="21"/>
              </w:rPr>
              <w:t>IrishAid</w:t>
            </w:r>
            <w:proofErr w:type="spellEnd"/>
          </w:p>
        </w:tc>
        <w:tc>
          <w:tcPr>
            <w:tcW w:w="5433" w:type="dxa"/>
            <w:vAlign w:val="center"/>
          </w:tcPr>
          <w:p w:rsidR="0037621E" w:rsidRPr="001A7EAB" w:rsidRDefault="0037621E" w:rsidP="0037621E">
            <w:pPr>
              <w:jc w:val="left"/>
              <w:rPr>
                <w:b/>
                <w:bCs/>
                <w:sz w:val="21"/>
                <w:szCs w:val="21"/>
              </w:rPr>
            </w:pPr>
            <w:r w:rsidRPr="001A7EAB">
              <w:rPr>
                <w:sz w:val="21"/>
                <w:szCs w:val="21"/>
              </w:rPr>
              <w:t>Introduction of Explaining the rationale of the side event and how it offers a unique opportunity to feed into the consultation process for the World Humanitarian Summit in 2016</w:t>
            </w:r>
            <w:r w:rsidRPr="001A7EAB">
              <w:rPr>
                <w:rStyle w:val="FootnoteReference"/>
                <w:sz w:val="21"/>
                <w:szCs w:val="21"/>
              </w:rPr>
              <w:footnoteReference w:id="1"/>
            </w:r>
          </w:p>
        </w:tc>
        <w:tc>
          <w:tcPr>
            <w:tcW w:w="1743" w:type="dxa"/>
            <w:vAlign w:val="center"/>
          </w:tcPr>
          <w:p w:rsidR="0037621E" w:rsidRPr="001A7EAB" w:rsidRDefault="0037621E" w:rsidP="0037621E">
            <w:pPr>
              <w:jc w:val="left"/>
              <w:rPr>
                <w:b/>
                <w:bCs/>
                <w:sz w:val="21"/>
                <w:szCs w:val="21"/>
              </w:rPr>
            </w:pPr>
            <w:r w:rsidRPr="001A7EAB">
              <w:rPr>
                <w:b/>
                <w:bCs/>
                <w:sz w:val="21"/>
                <w:szCs w:val="21"/>
              </w:rPr>
              <w:t xml:space="preserve">5 </w:t>
            </w:r>
            <w:proofErr w:type="spellStart"/>
            <w:r w:rsidRPr="001A7EAB">
              <w:rPr>
                <w:b/>
                <w:bCs/>
                <w:sz w:val="21"/>
                <w:szCs w:val="21"/>
              </w:rPr>
              <w:t>mins</w:t>
            </w:r>
            <w:proofErr w:type="spellEnd"/>
          </w:p>
        </w:tc>
      </w:tr>
      <w:tr w:rsidR="0037621E" w:rsidRPr="001A7EAB" w:rsidTr="00EC1BC6">
        <w:tc>
          <w:tcPr>
            <w:tcW w:w="3192" w:type="dxa"/>
            <w:vAlign w:val="center"/>
          </w:tcPr>
          <w:p w:rsidR="0037621E" w:rsidRPr="001A7EAB" w:rsidRDefault="0037621E" w:rsidP="0037621E">
            <w:pPr>
              <w:jc w:val="left"/>
              <w:rPr>
                <w:b/>
                <w:bCs/>
                <w:sz w:val="21"/>
                <w:szCs w:val="21"/>
              </w:rPr>
            </w:pPr>
            <w:r w:rsidRPr="001A7EAB">
              <w:rPr>
                <w:b/>
                <w:i/>
                <w:sz w:val="21"/>
                <w:szCs w:val="21"/>
              </w:rPr>
              <w:t>Panelist 1 –</w:t>
            </w:r>
            <w:r w:rsidRPr="001A7EAB">
              <w:rPr>
                <w:sz w:val="21"/>
                <w:szCs w:val="21"/>
              </w:rPr>
              <w:t xml:space="preserve"> ASG John Hendra, UN Women</w:t>
            </w:r>
            <w:r w:rsidRPr="001A7EAB">
              <w:rPr>
                <w:rStyle w:val="FootnoteReference"/>
                <w:sz w:val="21"/>
                <w:szCs w:val="21"/>
              </w:rPr>
              <w:footnoteReference w:id="2"/>
            </w:r>
          </w:p>
        </w:tc>
        <w:tc>
          <w:tcPr>
            <w:tcW w:w="5433" w:type="dxa"/>
            <w:vAlign w:val="center"/>
          </w:tcPr>
          <w:p w:rsidR="0037621E" w:rsidRPr="001A7EAB" w:rsidRDefault="0037621E" w:rsidP="0037621E">
            <w:pPr>
              <w:jc w:val="left"/>
              <w:rPr>
                <w:b/>
                <w:bCs/>
                <w:sz w:val="21"/>
                <w:szCs w:val="21"/>
              </w:rPr>
            </w:pPr>
            <w:r w:rsidRPr="001A7EAB">
              <w:rPr>
                <w:sz w:val="21"/>
                <w:szCs w:val="21"/>
              </w:rPr>
              <w:t xml:space="preserve">Presentation of the study </w:t>
            </w:r>
            <w:r w:rsidRPr="004B2F0D">
              <w:rPr>
                <w:i/>
                <w:sz w:val="21"/>
                <w:szCs w:val="21"/>
              </w:rPr>
              <w:t>The Effect of Gender Equality Programming on Humanitarian Outcomes</w:t>
            </w:r>
            <w:r w:rsidRPr="001A7EAB">
              <w:rPr>
                <w:i/>
                <w:sz w:val="21"/>
                <w:szCs w:val="21"/>
              </w:rPr>
              <w:t xml:space="preserve"> </w:t>
            </w:r>
            <w:r w:rsidRPr="001A7EAB">
              <w:rPr>
                <w:sz w:val="21"/>
                <w:szCs w:val="21"/>
              </w:rPr>
              <w:t>and its findings.</w:t>
            </w:r>
          </w:p>
        </w:tc>
        <w:tc>
          <w:tcPr>
            <w:tcW w:w="1743" w:type="dxa"/>
            <w:vAlign w:val="center"/>
          </w:tcPr>
          <w:p w:rsidR="0037621E" w:rsidRPr="001A7EAB" w:rsidRDefault="0037621E" w:rsidP="002C6572">
            <w:pPr>
              <w:jc w:val="left"/>
              <w:rPr>
                <w:b/>
                <w:bCs/>
                <w:sz w:val="21"/>
                <w:szCs w:val="21"/>
              </w:rPr>
            </w:pPr>
            <w:r w:rsidRPr="001A7EAB">
              <w:rPr>
                <w:b/>
                <w:bCs/>
                <w:sz w:val="21"/>
                <w:szCs w:val="21"/>
              </w:rPr>
              <w:t>1</w:t>
            </w:r>
            <w:r w:rsidR="002C6572">
              <w:rPr>
                <w:b/>
                <w:bCs/>
                <w:sz w:val="21"/>
                <w:szCs w:val="21"/>
              </w:rPr>
              <w:t>0</w:t>
            </w:r>
            <w:r w:rsidRPr="001A7EAB">
              <w:rPr>
                <w:b/>
                <w:bCs/>
                <w:sz w:val="21"/>
                <w:szCs w:val="21"/>
              </w:rPr>
              <w:t xml:space="preserve"> </w:t>
            </w:r>
            <w:proofErr w:type="spellStart"/>
            <w:r w:rsidRPr="001A7EAB">
              <w:rPr>
                <w:b/>
                <w:bCs/>
                <w:sz w:val="21"/>
                <w:szCs w:val="21"/>
              </w:rPr>
              <w:t>mins</w:t>
            </w:r>
            <w:proofErr w:type="spellEnd"/>
          </w:p>
        </w:tc>
      </w:tr>
      <w:tr w:rsidR="0037621E" w:rsidRPr="001A7EAB" w:rsidTr="00EC1BC6">
        <w:tc>
          <w:tcPr>
            <w:tcW w:w="3192" w:type="dxa"/>
            <w:vAlign w:val="center"/>
          </w:tcPr>
          <w:p w:rsidR="00A306FC" w:rsidRDefault="00A306FC" w:rsidP="00EC1BC6">
            <w:pPr>
              <w:jc w:val="left"/>
              <w:rPr>
                <w:b/>
                <w:i/>
                <w:sz w:val="21"/>
                <w:szCs w:val="21"/>
              </w:rPr>
            </w:pPr>
          </w:p>
          <w:p w:rsidR="00A306FC" w:rsidRPr="001A7EAB" w:rsidRDefault="0037621E" w:rsidP="002775EF">
            <w:pPr>
              <w:jc w:val="left"/>
              <w:rPr>
                <w:b/>
                <w:bCs/>
                <w:sz w:val="21"/>
                <w:szCs w:val="21"/>
              </w:rPr>
            </w:pPr>
            <w:r w:rsidRPr="001A7EAB">
              <w:rPr>
                <w:b/>
                <w:i/>
                <w:sz w:val="21"/>
                <w:szCs w:val="21"/>
              </w:rPr>
              <w:t>Panelist 2 –</w:t>
            </w:r>
            <w:r w:rsidRPr="001A7EAB">
              <w:rPr>
                <w:sz w:val="21"/>
                <w:szCs w:val="21"/>
              </w:rPr>
              <w:t xml:space="preserve"> </w:t>
            </w:r>
            <w:proofErr w:type="spellStart"/>
            <w:r w:rsidRPr="001A7EAB">
              <w:rPr>
                <w:sz w:val="21"/>
                <w:szCs w:val="21"/>
              </w:rPr>
              <w:t>Seline</w:t>
            </w:r>
            <w:proofErr w:type="spellEnd"/>
            <w:r w:rsidRPr="001A7EAB">
              <w:rPr>
                <w:sz w:val="21"/>
                <w:szCs w:val="21"/>
              </w:rPr>
              <w:t xml:space="preserve"> </w:t>
            </w:r>
            <w:proofErr w:type="spellStart"/>
            <w:r w:rsidRPr="001A7EAB">
              <w:rPr>
                <w:sz w:val="21"/>
                <w:szCs w:val="21"/>
              </w:rPr>
              <w:t>Locham</w:t>
            </w:r>
            <w:proofErr w:type="spellEnd"/>
            <w:r w:rsidRPr="001A7EAB">
              <w:rPr>
                <w:sz w:val="21"/>
                <w:szCs w:val="21"/>
              </w:rPr>
              <w:t xml:space="preserve">,  Turkana Women Advocacy &amp;  Development Organization </w:t>
            </w:r>
          </w:p>
        </w:tc>
        <w:tc>
          <w:tcPr>
            <w:tcW w:w="5433" w:type="dxa"/>
            <w:vAlign w:val="center"/>
          </w:tcPr>
          <w:p w:rsidR="0037621E" w:rsidRPr="001A7EAB" w:rsidRDefault="0037621E" w:rsidP="0037621E">
            <w:pPr>
              <w:jc w:val="left"/>
              <w:rPr>
                <w:b/>
                <w:bCs/>
                <w:sz w:val="21"/>
                <w:szCs w:val="21"/>
              </w:rPr>
            </w:pPr>
            <w:r w:rsidRPr="001A7EAB">
              <w:rPr>
                <w:sz w:val="21"/>
                <w:szCs w:val="21"/>
              </w:rPr>
              <w:t>Speaking on the experiences of the Turkana case-study community as beneficiaries of gender equality programming</w:t>
            </w:r>
            <w:r w:rsidR="00EC1BC6" w:rsidRPr="001A7EAB">
              <w:rPr>
                <w:sz w:val="21"/>
                <w:szCs w:val="21"/>
              </w:rPr>
              <w:t>.</w:t>
            </w:r>
          </w:p>
        </w:tc>
        <w:tc>
          <w:tcPr>
            <w:tcW w:w="1743" w:type="dxa"/>
            <w:vAlign w:val="center"/>
          </w:tcPr>
          <w:p w:rsidR="0037621E" w:rsidRPr="001A7EAB" w:rsidRDefault="0037621E" w:rsidP="0037621E">
            <w:pPr>
              <w:jc w:val="left"/>
              <w:rPr>
                <w:b/>
                <w:bCs/>
                <w:sz w:val="21"/>
                <w:szCs w:val="21"/>
              </w:rPr>
            </w:pPr>
            <w:r w:rsidRPr="001A7EAB">
              <w:rPr>
                <w:b/>
                <w:bCs/>
                <w:sz w:val="21"/>
                <w:szCs w:val="21"/>
              </w:rPr>
              <w:t xml:space="preserve">7.5 </w:t>
            </w:r>
            <w:proofErr w:type="spellStart"/>
            <w:r w:rsidRPr="001A7EAB">
              <w:rPr>
                <w:b/>
                <w:bCs/>
                <w:sz w:val="21"/>
                <w:szCs w:val="21"/>
              </w:rPr>
              <w:t>mins</w:t>
            </w:r>
            <w:proofErr w:type="spellEnd"/>
          </w:p>
        </w:tc>
      </w:tr>
      <w:tr w:rsidR="0037621E" w:rsidRPr="001A7EAB" w:rsidTr="00EC1BC6">
        <w:tc>
          <w:tcPr>
            <w:tcW w:w="3192" w:type="dxa"/>
            <w:vAlign w:val="center"/>
          </w:tcPr>
          <w:p w:rsidR="0037621E" w:rsidRPr="001A7EAB" w:rsidRDefault="0037621E" w:rsidP="0037621E">
            <w:pPr>
              <w:jc w:val="left"/>
              <w:rPr>
                <w:b/>
                <w:bCs/>
                <w:sz w:val="21"/>
                <w:szCs w:val="21"/>
              </w:rPr>
            </w:pPr>
            <w:r w:rsidRPr="001A7EAB">
              <w:rPr>
                <w:b/>
                <w:i/>
                <w:sz w:val="21"/>
                <w:szCs w:val="21"/>
              </w:rPr>
              <w:lastRenderedPageBreak/>
              <w:t>Panelist 3-</w:t>
            </w:r>
            <w:r w:rsidRPr="001A7EAB">
              <w:rPr>
                <w:sz w:val="21"/>
                <w:szCs w:val="21"/>
              </w:rPr>
              <w:t xml:space="preserve">  ASG</w:t>
            </w:r>
            <w:r w:rsidR="00617A5A">
              <w:rPr>
                <w:sz w:val="21"/>
                <w:szCs w:val="21"/>
              </w:rPr>
              <w:t>/DERC</w:t>
            </w:r>
            <w:r w:rsidRPr="001A7EAB">
              <w:rPr>
                <w:sz w:val="21"/>
                <w:szCs w:val="21"/>
              </w:rPr>
              <w:t xml:space="preserve"> </w:t>
            </w:r>
            <w:r w:rsidR="00617A5A">
              <w:rPr>
                <w:sz w:val="21"/>
                <w:szCs w:val="21"/>
              </w:rPr>
              <w:t>Kyung-</w:t>
            </w:r>
            <w:proofErr w:type="spellStart"/>
            <w:r w:rsidR="00617A5A">
              <w:rPr>
                <w:sz w:val="21"/>
                <w:szCs w:val="21"/>
              </w:rPr>
              <w:t>wha</w:t>
            </w:r>
            <w:proofErr w:type="spellEnd"/>
            <w:r w:rsidR="00617A5A">
              <w:rPr>
                <w:sz w:val="21"/>
                <w:szCs w:val="21"/>
              </w:rPr>
              <w:t xml:space="preserve"> </w:t>
            </w:r>
            <w:r w:rsidRPr="001A7EAB">
              <w:rPr>
                <w:sz w:val="21"/>
                <w:szCs w:val="21"/>
              </w:rPr>
              <w:t>Kang, OCHA</w:t>
            </w:r>
          </w:p>
        </w:tc>
        <w:tc>
          <w:tcPr>
            <w:tcW w:w="5433" w:type="dxa"/>
            <w:vAlign w:val="center"/>
          </w:tcPr>
          <w:p w:rsidR="0037621E" w:rsidRPr="001A7EAB" w:rsidRDefault="00EC1BC6" w:rsidP="0037621E">
            <w:pPr>
              <w:jc w:val="left"/>
              <w:rPr>
                <w:b/>
                <w:bCs/>
                <w:sz w:val="21"/>
                <w:szCs w:val="21"/>
              </w:rPr>
            </w:pPr>
            <w:r w:rsidRPr="001A7EAB">
              <w:rPr>
                <w:sz w:val="21"/>
                <w:szCs w:val="21"/>
              </w:rPr>
              <w:t>S</w:t>
            </w:r>
            <w:r w:rsidR="0037621E" w:rsidRPr="001A7EAB">
              <w:rPr>
                <w:sz w:val="21"/>
                <w:szCs w:val="21"/>
              </w:rPr>
              <w:t>peaking on what is needed to translate existing policy on gender equality and women’s empowerment in humanitarian action into scalable practice</w:t>
            </w:r>
            <w:r w:rsidRPr="001A7EAB">
              <w:rPr>
                <w:sz w:val="21"/>
                <w:szCs w:val="21"/>
              </w:rPr>
              <w:t>, how it fits into the developing humanitarian system</w:t>
            </w:r>
            <w:r w:rsidR="0037621E" w:rsidRPr="001A7EAB">
              <w:rPr>
                <w:sz w:val="21"/>
                <w:szCs w:val="21"/>
              </w:rPr>
              <w:t xml:space="preserve"> and what gaps need to be addressed</w:t>
            </w:r>
            <w:r w:rsidRPr="001A7EAB">
              <w:rPr>
                <w:sz w:val="21"/>
                <w:szCs w:val="21"/>
              </w:rPr>
              <w:t>.</w:t>
            </w:r>
          </w:p>
        </w:tc>
        <w:tc>
          <w:tcPr>
            <w:tcW w:w="1743" w:type="dxa"/>
            <w:vAlign w:val="center"/>
          </w:tcPr>
          <w:p w:rsidR="0037621E" w:rsidRPr="001A7EAB" w:rsidRDefault="0037621E" w:rsidP="0037621E">
            <w:pPr>
              <w:jc w:val="left"/>
              <w:rPr>
                <w:b/>
                <w:bCs/>
                <w:sz w:val="21"/>
                <w:szCs w:val="21"/>
              </w:rPr>
            </w:pPr>
            <w:r w:rsidRPr="001A7EAB">
              <w:rPr>
                <w:b/>
                <w:bCs/>
                <w:sz w:val="21"/>
                <w:szCs w:val="21"/>
              </w:rPr>
              <w:t xml:space="preserve">7.5 </w:t>
            </w:r>
            <w:proofErr w:type="spellStart"/>
            <w:r w:rsidRPr="001A7EAB">
              <w:rPr>
                <w:b/>
                <w:bCs/>
                <w:sz w:val="21"/>
                <w:szCs w:val="21"/>
              </w:rPr>
              <w:t>mins</w:t>
            </w:r>
            <w:proofErr w:type="spellEnd"/>
          </w:p>
        </w:tc>
      </w:tr>
      <w:tr w:rsidR="0037621E" w:rsidRPr="001A7EAB" w:rsidTr="00EC1BC6">
        <w:tc>
          <w:tcPr>
            <w:tcW w:w="3192" w:type="dxa"/>
            <w:vAlign w:val="center"/>
          </w:tcPr>
          <w:p w:rsidR="0037621E" w:rsidRPr="001A7EAB" w:rsidRDefault="0037621E" w:rsidP="0037621E">
            <w:pPr>
              <w:jc w:val="left"/>
              <w:rPr>
                <w:b/>
                <w:bCs/>
                <w:sz w:val="21"/>
                <w:szCs w:val="21"/>
              </w:rPr>
            </w:pPr>
            <w:r w:rsidRPr="001A7EAB">
              <w:rPr>
                <w:b/>
                <w:i/>
                <w:sz w:val="21"/>
                <w:szCs w:val="21"/>
              </w:rPr>
              <w:t xml:space="preserve">Panelist 4 - </w:t>
            </w:r>
            <w:proofErr w:type="spellStart"/>
            <w:r w:rsidRPr="001A7EAB">
              <w:rPr>
                <w:sz w:val="21"/>
                <w:szCs w:val="21"/>
                <w:lang w:val="en-GB"/>
              </w:rPr>
              <w:t>Florika</w:t>
            </w:r>
            <w:proofErr w:type="spellEnd"/>
            <w:r w:rsidRPr="001A7EAB">
              <w:rPr>
                <w:sz w:val="21"/>
                <w:szCs w:val="21"/>
                <w:lang w:val="en-GB"/>
              </w:rPr>
              <w:t xml:space="preserve"> Fink-</w:t>
            </w:r>
            <w:proofErr w:type="spellStart"/>
            <w:r w:rsidRPr="001A7EAB">
              <w:rPr>
                <w:sz w:val="21"/>
                <w:szCs w:val="21"/>
                <w:lang w:val="en-GB"/>
              </w:rPr>
              <w:t>Hooijer</w:t>
            </w:r>
            <w:proofErr w:type="spellEnd"/>
            <w:r w:rsidRPr="001A7EAB">
              <w:rPr>
                <w:sz w:val="21"/>
                <w:szCs w:val="21"/>
                <w:lang w:val="en-GB"/>
              </w:rPr>
              <w:t xml:space="preserve">, </w:t>
            </w:r>
            <w:r w:rsidRPr="001A7EAB">
              <w:rPr>
                <w:sz w:val="21"/>
                <w:szCs w:val="21"/>
              </w:rPr>
              <w:t>ECHO</w:t>
            </w:r>
          </w:p>
        </w:tc>
        <w:tc>
          <w:tcPr>
            <w:tcW w:w="5433" w:type="dxa"/>
            <w:vAlign w:val="center"/>
          </w:tcPr>
          <w:p w:rsidR="0037621E" w:rsidRPr="001A7EAB" w:rsidRDefault="00EC1BC6" w:rsidP="0037621E">
            <w:pPr>
              <w:jc w:val="left"/>
              <w:rPr>
                <w:b/>
                <w:bCs/>
                <w:sz w:val="21"/>
                <w:szCs w:val="21"/>
              </w:rPr>
            </w:pPr>
            <w:r w:rsidRPr="001A7EAB">
              <w:rPr>
                <w:sz w:val="21"/>
                <w:szCs w:val="21"/>
              </w:rPr>
              <w:t>P</w:t>
            </w:r>
            <w:r w:rsidR="0037621E" w:rsidRPr="001A7EAB">
              <w:rPr>
                <w:sz w:val="21"/>
                <w:szCs w:val="21"/>
              </w:rPr>
              <w:t>resenting from a donor’s perspective on the use of the gender and age marker throughout the project cycle</w:t>
            </w:r>
          </w:p>
        </w:tc>
        <w:tc>
          <w:tcPr>
            <w:tcW w:w="1743" w:type="dxa"/>
            <w:vAlign w:val="center"/>
          </w:tcPr>
          <w:p w:rsidR="0037621E" w:rsidRPr="001A7EAB" w:rsidRDefault="0037621E" w:rsidP="0037621E">
            <w:pPr>
              <w:jc w:val="left"/>
              <w:rPr>
                <w:b/>
                <w:bCs/>
                <w:sz w:val="21"/>
                <w:szCs w:val="21"/>
              </w:rPr>
            </w:pPr>
            <w:r w:rsidRPr="001A7EAB">
              <w:rPr>
                <w:b/>
                <w:bCs/>
                <w:sz w:val="21"/>
                <w:szCs w:val="21"/>
              </w:rPr>
              <w:t xml:space="preserve">10 </w:t>
            </w:r>
            <w:proofErr w:type="spellStart"/>
            <w:r w:rsidRPr="001A7EAB">
              <w:rPr>
                <w:b/>
                <w:bCs/>
                <w:sz w:val="21"/>
                <w:szCs w:val="21"/>
              </w:rPr>
              <w:t>mins</w:t>
            </w:r>
            <w:proofErr w:type="spellEnd"/>
          </w:p>
        </w:tc>
      </w:tr>
      <w:tr w:rsidR="001A7EAB" w:rsidRPr="001A7EAB" w:rsidTr="00EC1BC6">
        <w:tc>
          <w:tcPr>
            <w:tcW w:w="3192" w:type="dxa"/>
            <w:vAlign w:val="center"/>
          </w:tcPr>
          <w:p w:rsidR="001A7EAB" w:rsidRPr="001A7EAB" w:rsidRDefault="004B2F0D" w:rsidP="0037621E">
            <w:pPr>
              <w:jc w:val="left"/>
              <w:rPr>
                <w:b/>
                <w:i/>
                <w:sz w:val="21"/>
                <w:szCs w:val="21"/>
              </w:rPr>
            </w:pPr>
            <w:r>
              <w:rPr>
                <w:b/>
                <w:i/>
                <w:sz w:val="21"/>
                <w:szCs w:val="21"/>
              </w:rPr>
              <w:t>Audience</w:t>
            </w:r>
          </w:p>
        </w:tc>
        <w:tc>
          <w:tcPr>
            <w:tcW w:w="5433" w:type="dxa"/>
            <w:vAlign w:val="center"/>
          </w:tcPr>
          <w:p w:rsidR="001A7EAB" w:rsidRPr="001A7EAB" w:rsidRDefault="001A7EAB" w:rsidP="0037621E">
            <w:pPr>
              <w:jc w:val="left"/>
              <w:rPr>
                <w:sz w:val="21"/>
                <w:szCs w:val="21"/>
              </w:rPr>
            </w:pPr>
            <w:r>
              <w:rPr>
                <w:sz w:val="21"/>
                <w:szCs w:val="21"/>
              </w:rPr>
              <w:t>Q&amp;A</w:t>
            </w:r>
          </w:p>
        </w:tc>
        <w:tc>
          <w:tcPr>
            <w:tcW w:w="1743" w:type="dxa"/>
            <w:vAlign w:val="center"/>
          </w:tcPr>
          <w:p w:rsidR="001A7EAB" w:rsidRPr="001A7EAB" w:rsidRDefault="002C6572" w:rsidP="0037621E">
            <w:pPr>
              <w:jc w:val="left"/>
              <w:rPr>
                <w:b/>
                <w:bCs/>
                <w:sz w:val="21"/>
                <w:szCs w:val="21"/>
              </w:rPr>
            </w:pPr>
            <w:r>
              <w:rPr>
                <w:b/>
                <w:bCs/>
                <w:sz w:val="21"/>
                <w:szCs w:val="21"/>
              </w:rPr>
              <w:t>30</w:t>
            </w:r>
            <w:r w:rsidR="001A7EAB">
              <w:rPr>
                <w:b/>
                <w:bCs/>
                <w:sz w:val="21"/>
                <w:szCs w:val="21"/>
              </w:rPr>
              <w:t xml:space="preserve"> </w:t>
            </w:r>
            <w:proofErr w:type="spellStart"/>
            <w:r w:rsidR="001A7EAB">
              <w:rPr>
                <w:b/>
                <w:bCs/>
                <w:sz w:val="21"/>
                <w:szCs w:val="21"/>
              </w:rPr>
              <w:t>mins</w:t>
            </w:r>
            <w:proofErr w:type="spellEnd"/>
          </w:p>
        </w:tc>
      </w:tr>
      <w:tr w:rsidR="004B2F0D" w:rsidRPr="001A7EAB" w:rsidTr="00EC1BC6">
        <w:tc>
          <w:tcPr>
            <w:tcW w:w="3192" w:type="dxa"/>
            <w:vAlign w:val="center"/>
          </w:tcPr>
          <w:p w:rsidR="004B2F0D" w:rsidRDefault="004B2F0D" w:rsidP="0037621E">
            <w:pPr>
              <w:jc w:val="left"/>
              <w:rPr>
                <w:b/>
                <w:i/>
                <w:sz w:val="21"/>
                <w:szCs w:val="21"/>
              </w:rPr>
            </w:pPr>
            <w:r>
              <w:rPr>
                <w:b/>
                <w:i/>
                <w:sz w:val="21"/>
                <w:szCs w:val="21"/>
              </w:rPr>
              <w:t>Moderator</w:t>
            </w:r>
          </w:p>
        </w:tc>
        <w:tc>
          <w:tcPr>
            <w:tcW w:w="5433" w:type="dxa"/>
            <w:vAlign w:val="center"/>
          </w:tcPr>
          <w:p w:rsidR="004B2F0D" w:rsidRDefault="004B2F0D" w:rsidP="0037621E">
            <w:pPr>
              <w:jc w:val="left"/>
              <w:rPr>
                <w:sz w:val="21"/>
                <w:szCs w:val="21"/>
              </w:rPr>
            </w:pPr>
            <w:r>
              <w:rPr>
                <w:sz w:val="21"/>
                <w:szCs w:val="21"/>
              </w:rPr>
              <w:t>Summation of discussion and closing remarks</w:t>
            </w:r>
          </w:p>
        </w:tc>
        <w:tc>
          <w:tcPr>
            <w:tcW w:w="1743" w:type="dxa"/>
            <w:vAlign w:val="center"/>
          </w:tcPr>
          <w:p w:rsidR="004B2F0D" w:rsidRDefault="004B2F0D" w:rsidP="0037621E">
            <w:pPr>
              <w:jc w:val="left"/>
              <w:rPr>
                <w:b/>
                <w:bCs/>
                <w:sz w:val="21"/>
                <w:szCs w:val="21"/>
              </w:rPr>
            </w:pPr>
            <w:r>
              <w:rPr>
                <w:b/>
                <w:bCs/>
                <w:sz w:val="21"/>
                <w:szCs w:val="21"/>
              </w:rPr>
              <w:t xml:space="preserve">5 </w:t>
            </w:r>
            <w:proofErr w:type="spellStart"/>
            <w:r>
              <w:rPr>
                <w:b/>
                <w:bCs/>
                <w:sz w:val="21"/>
                <w:szCs w:val="21"/>
              </w:rPr>
              <w:t>mins</w:t>
            </w:r>
            <w:proofErr w:type="spellEnd"/>
          </w:p>
        </w:tc>
      </w:tr>
    </w:tbl>
    <w:p w:rsidR="001A7EAB" w:rsidRDefault="001A7EAB" w:rsidP="00EC1BC6">
      <w:pPr>
        <w:jc w:val="left"/>
        <w:rPr>
          <w:b/>
          <w:u w:val="single"/>
        </w:rPr>
      </w:pPr>
    </w:p>
    <w:p w:rsidR="0057512D" w:rsidRDefault="0057512D" w:rsidP="00F56213">
      <w:pPr>
        <w:jc w:val="both"/>
        <w:rPr>
          <w:b/>
          <w:u w:val="single"/>
        </w:rPr>
      </w:pPr>
      <w:r w:rsidRPr="001A7EAB">
        <w:rPr>
          <w:b/>
          <w:u w:val="single"/>
        </w:rPr>
        <w:t>Bios of Panelists:</w:t>
      </w:r>
    </w:p>
    <w:p w:rsidR="0057512D" w:rsidRDefault="0057512D" w:rsidP="00F56213">
      <w:pPr>
        <w:jc w:val="both"/>
        <w:rPr>
          <w:b/>
          <w:u w:val="single"/>
        </w:rPr>
      </w:pPr>
    </w:p>
    <w:p w:rsidR="0057512D" w:rsidRDefault="0057512D" w:rsidP="00F56213">
      <w:pPr>
        <w:jc w:val="both"/>
        <w:rPr>
          <w:bCs/>
        </w:rPr>
      </w:pPr>
      <w:r>
        <w:rPr>
          <w:b/>
          <w:noProof/>
          <w:u w:val="single"/>
        </w:rPr>
        <w:drawing>
          <wp:anchor distT="0" distB="0" distL="114300" distR="114300" simplePos="0" relativeHeight="251663360" behindDoc="0" locked="0" layoutInCell="1" allowOverlap="1" wp14:anchorId="2DD32172" wp14:editId="17B6E12B">
            <wp:simplePos x="0" y="0"/>
            <wp:positionH relativeFrom="column">
              <wp:posOffset>9525</wp:posOffset>
            </wp:positionH>
            <wp:positionV relativeFrom="paragraph">
              <wp:posOffset>1905</wp:posOffset>
            </wp:positionV>
            <wp:extent cx="908050" cy="1047750"/>
            <wp:effectExtent l="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80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6ABC">
        <w:rPr>
          <w:b/>
          <w:bCs/>
          <w:sz w:val="32"/>
          <w:szCs w:val="32"/>
        </w:rPr>
        <w:t xml:space="preserve"> </w:t>
      </w:r>
      <w:r w:rsidRPr="00BA6ABC">
        <w:rPr>
          <w:b/>
          <w:bCs/>
        </w:rPr>
        <w:t>Kevin Kelly</w:t>
      </w:r>
      <w:r w:rsidRPr="00BA6ABC">
        <w:rPr>
          <w:bCs/>
        </w:rPr>
        <w:t xml:space="preserve"> </w:t>
      </w:r>
      <w:r>
        <w:rPr>
          <w:bCs/>
        </w:rPr>
        <w:t xml:space="preserve">is the </w:t>
      </w:r>
      <w:r w:rsidRPr="00BA6ABC">
        <w:rPr>
          <w:bCs/>
        </w:rPr>
        <w:t xml:space="preserve">Director for Emergency &amp; Recovery in the Department of Foreign Affairs and Trade in Dublin. </w:t>
      </w:r>
      <w:r>
        <w:rPr>
          <w:bCs/>
        </w:rPr>
        <w:t>He p</w:t>
      </w:r>
      <w:r w:rsidRPr="00BA6ABC">
        <w:rPr>
          <w:bCs/>
        </w:rPr>
        <w:t xml:space="preserve">reviously served as Ambassador to Uganda, also accredited to Rwanda. </w:t>
      </w:r>
      <w:r>
        <w:rPr>
          <w:bCs/>
        </w:rPr>
        <w:t xml:space="preserve"> </w:t>
      </w:r>
      <w:r w:rsidRPr="00BA6ABC">
        <w:rPr>
          <w:bCs/>
        </w:rPr>
        <w:t xml:space="preserve">Prior to that, </w:t>
      </w:r>
      <w:r>
        <w:rPr>
          <w:bCs/>
        </w:rPr>
        <w:t xml:space="preserve">he was the </w:t>
      </w:r>
      <w:r w:rsidRPr="00BA6ABC">
        <w:rPr>
          <w:bCs/>
        </w:rPr>
        <w:t xml:space="preserve">Director for Africa in Political Division of Irish Department of Foreign Affairs. </w:t>
      </w:r>
      <w:r>
        <w:rPr>
          <w:bCs/>
        </w:rPr>
        <w:t xml:space="preserve"> He has a</w:t>
      </w:r>
      <w:r w:rsidRPr="00BA6ABC">
        <w:rPr>
          <w:bCs/>
        </w:rPr>
        <w:t xml:space="preserve"> wide range of experience in development cooperation, governance policy development and </w:t>
      </w:r>
      <w:proofErr w:type="spellStart"/>
      <w:r w:rsidRPr="00BA6ABC">
        <w:rPr>
          <w:bCs/>
        </w:rPr>
        <w:t>programme</w:t>
      </w:r>
      <w:proofErr w:type="spellEnd"/>
      <w:r w:rsidRPr="00BA6ABC">
        <w:rPr>
          <w:bCs/>
        </w:rPr>
        <w:t xml:space="preserve"> management. </w:t>
      </w:r>
    </w:p>
    <w:p w:rsidR="0057512D" w:rsidRDefault="0057512D" w:rsidP="00F56213">
      <w:pPr>
        <w:jc w:val="both"/>
        <w:rPr>
          <w:b/>
          <w:u w:val="single"/>
        </w:rPr>
      </w:pPr>
    </w:p>
    <w:p w:rsidR="0057512D" w:rsidRDefault="0057512D" w:rsidP="00F56213">
      <w:pPr>
        <w:jc w:val="both"/>
        <w:rPr>
          <w:b/>
          <w:u w:val="single"/>
        </w:rPr>
      </w:pPr>
    </w:p>
    <w:p w:rsidR="0057512D" w:rsidRPr="001A7EAB" w:rsidRDefault="0057512D" w:rsidP="00F56213">
      <w:pPr>
        <w:jc w:val="both"/>
        <w:rPr>
          <w:rFonts w:eastAsia="Times New Roman" w:cs="Arial"/>
        </w:rPr>
      </w:pPr>
      <w:r w:rsidRPr="001A7EAB">
        <w:rPr>
          <w:noProof/>
        </w:rPr>
        <w:drawing>
          <wp:anchor distT="0" distB="0" distL="114300" distR="114300" simplePos="0" relativeHeight="251659264" behindDoc="0" locked="0" layoutInCell="1" allowOverlap="1" wp14:anchorId="5DE8DE6D" wp14:editId="49A9D117">
            <wp:simplePos x="0" y="0"/>
            <wp:positionH relativeFrom="column">
              <wp:posOffset>0</wp:posOffset>
            </wp:positionH>
            <wp:positionV relativeFrom="paragraph">
              <wp:posOffset>-3810</wp:posOffset>
            </wp:positionV>
            <wp:extent cx="861060" cy="861060"/>
            <wp:effectExtent l="0" t="0" r="0" b="0"/>
            <wp:wrapSquare wrapText="bothSides"/>
            <wp:docPr id="1" name="Picture 1" descr="John Hen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hn Hendr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EAB">
        <w:rPr>
          <w:rFonts w:eastAsia="Times New Roman" w:cs="Arial"/>
          <w:b/>
        </w:rPr>
        <w:t>John Hendra</w:t>
      </w:r>
      <w:r w:rsidRPr="001A7EAB">
        <w:rPr>
          <w:rFonts w:eastAsia="Times New Roman" w:cs="Arial"/>
        </w:rPr>
        <w:t xml:space="preserve"> </w:t>
      </w:r>
      <w:r w:rsidRPr="00EC1BC6">
        <w:rPr>
          <w:rFonts w:eastAsia="Times New Roman" w:cs="Arial"/>
        </w:rPr>
        <w:t xml:space="preserve">has served as UN Women’s Deputy Executive Director for Policy and </w:t>
      </w:r>
      <w:proofErr w:type="spellStart"/>
      <w:r w:rsidRPr="00EC1BC6">
        <w:rPr>
          <w:rFonts w:eastAsia="Times New Roman" w:cs="Arial"/>
        </w:rPr>
        <w:t>Programme</w:t>
      </w:r>
      <w:proofErr w:type="spellEnd"/>
      <w:r w:rsidRPr="001A7EAB">
        <w:rPr>
          <w:rFonts w:eastAsia="Times New Roman" w:cs="Arial"/>
        </w:rPr>
        <w:t xml:space="preserve"> </w:t>
      </w:r>
      <w:r w:rsidRPr="00EC1BC6">
        <w:rPr>
          <w:rFonts w:eastAsia="Times New Roman" w:cs="Arial"/>
        </w:rPr>
        <w:t>at the Assistant Secretary-General (ASG) level since May 2011. In this capacity, he leads</w:t>
      </w:r>
      <w:r w:rsidRPr="001A7EAB">
        <w:rPr>
          <w:rFonts w:eastAsia="Times New Roman" w:cs="Arial"/>
        </w:rPr>
        <w:t xml:space="preserve"> </w:t>
      </w:r>
      <w:r w:rsidRPr="00EC1BC6">
        <w:rPr>
          <w:rFonts w:eastAsia="Times New Roman" w:cs="Arial"/>
        </w:rPr>
        <w:t xml:space="preserve">UN Women’s global policy work, overseeing its </w:t>
      </w:r>
      <w:proofErr w:type="spellStart"/>
      <w:r w:rsidRPr="00EC1BC6">
        <w:rPr>
          <w:rFonts w:eastAsia="Times New Roman" w:cs="Arial"/>
        </w:rPr>
        <w:t>programmes</w:t>
      </w:r>
      <w:proofErr w:type="spellEnd"/>
      <w:r w:rsidRPr="00EC1BC6">
        <w:rPr>
          <w:rFonts w:eastAsia="Times New Roman" w:cs="Arial"/>
        </w:rPr>
        <w:t xml:space="preserve"> in over 70</w:t>
      </w:r>
      <w:r w:rsidRPr="001A7EAB">
        <w:rPr>
          <w:rFonts w:eastAsia="Times New Roman" w:cs="Arial"/>
        </w:rPr>
        <w:t xml:space="preserve"> c</w:t>
      </w:r>
      <w:r w:rsidRPr="00EC1BC6">
        <w:rPr>
          <w:rFonts w:eastAsia="Times New Roman" w:cs="Arial"/>
        </w:rPr>
        <w:t>ountries and management of the Bureau supporting policy analysis,</w:t>
      </w:r>
      <w:r w:rsidRPr="001A7EAB">
        <w:rPr>
          <w:rFonts w:eastAsia="Times New Roman" w:cs="Arial"/>
        </w:rPr>
        <w:t xml:space="preserve"> </w:t>
      </w:r>
      <w:r w:rsidRPr="00EC1BC6">
        <w:rPr>
          <w:rFonts w:eastAsia="Times New Roman" w:cs="Arial"/>
        </w:rPr>
        <w:t xml:space="preserve">research and </w:t>
      </w:r>
      <w:proofErr w:type="spellStart"/>
      <w:r w:rsidRPr="00EC1BC6">
        <w:rPr>
          <w:rFonts w:eastAsia="Times New Roman" w:cs="Arial"/>
        </w:rPr>
        <w:t>programme</w:t>
      </w:r>
      <w:proofErr w:type="spellEnd"/>
      <w:r w:rsidRPr="00EC1BC6">
        <w:rPr>
          <w:rFonts w:eastAsia="Times New Roman" w:cs="Arial"/>
        </w:rPr>
        <w:t xml:space="preserve"> management. </w:t>
      </w:r>
    </w:p>
    <w:p w:rsidR="0057512D" w:rsidRPr="001A7EAB" w:rsidRDefault="00923D50" w:rsidP="00F56213">
      <w:pPr>
        <w:jc w:val="both"/>
        <w:rPr>
          <w:rFonts w:eastAsia="Times New Roman" w:cs="Arial"/>
        </w:rPr>
      </w:pPr>
      <w:r>
        <w:rPr>
          <w:rFonts w:eastAsia="Times New Roman" w:cs="Arial"/>
          <w:noProof/>
        </w:rPr>
        <w:drawing>
          <wp:anchor distT="0" distB="0" distL="114300" distR="114300" simplePos="0" relativeHeight="251664384" behindDoc="0" locked="0" layoutInCell="1" allowOverlap="1" wp14:anchorId="12C742DD" wp14:editId="015CD428">
            <wp:simplePos x="0" y="0"/>
            <wp:positionH relativeFrom="column">
              <wp:posOffset>-975995</wp:posOffset>
            </wp:positionH>
            <wp:positionV relativeFrom="paragraph">
              <wp:posOffset>78105</wp:posOffset>
            </wp:positionV>
            <wp:extent cx="808990" cy="1062990"/>
            <wp:effectExtent l="0" t="0" r="0"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8990" cy="1062990"/>
                    </a:xfrm>
                    <a:prstGeom prst="rect">
                      <a:avLst/>
                    </a:prstGeom>
                    <a:noFill/>
                  </pic:spPr>
                </pic:pic>
              </a:graphicData>
            </a:graphic>
            <wp14:sizeRelH relativeFrom="page">
              <wp14:pctWidth>0</wp14:pctWidth>
            </wp14:sizeRelH>
            <wp14:sizeRelV relativeFrom="page">
              <wp14:pctHeight>0</wp14:pctHeight>
            </wp14:sizeRelV>
          </wp:anchor>
        </w:drawing>
      </w:r>
    </w:p>
    <w:p w:rsidR="0057512D" w:rsidRDefault="0057512D" w:rsidP="00F56213">
      <w:pPr>
        <w:ind w:left="1440"/>
        <w:jc w:val="both"/>
        <w:rPr>
          <w:rFonts w:eastAsia="Times New Roman" w:cs="Arial"/>
        </w:rPr>
      </w:pPr>
      <w:proofErr w:type="spellStart"/>
      <w:r w:rsidRPr="001A7EAB">
        <w:rPr>
          <w:rFonts w:eastAsia="Times New Roman" w:cs="Arial"/>
          <w:b/>
        </w:rPr>
        <w:t>Seline</w:t>
      </w:r>
      <w:proofErr w:type="spellEnd"/>
      <w:r w:rsidRPr="001A7EAB">
        <w:rPr>
          <w:rFonts w:eastAsia="Times New Roman" w:cs="Arial"/>
          <w:b/>
        </w:rPr>
        <w:t xml:space="preserve"> </w:t>
      </w:r>
      <w:proofErr w:type="spellStart"/>
      <w:r w:rsidRPr="001A7EAB">
        <w:rPr>
          <w:rFonts w:eastAsia="Times New Roman" w:cs="Arial"/>
          <w:b/>
        </w:rPr>
        <w:t>Locham</w:t>
      </w:r>
      <w:proofErr w:type="spellEnd"/>
      <w:r w:rsidRPr="001A7EAB">
        <w:rPr>
          <w:rFonts w:eastAsia="Times New Roman" w:cs="Arial"/>
          <w:b/>
        </w:rPr>
        <w:t xml:space="preserve"> </w:t>
      </w:r>
      <w:r w:rsidRPr="001A7EAB">
        <w:rPr>
          <w:rFonts w:eastAsia="Times New Roman" w:cs="Arial"/>
        </w:rPr>
        <w:t xml:space="preserve">is the </w:t>
      </w:r>
      <w:proofErr w:type="spellStart"/>
      <w:r w:rsidRPr="001A7EAB">
        <w:rPr>
          <w:rFonts w:eastAsia="Times New Roman" w:cs="Arial"/>
        </w:rPr>
        <w:t>Programme</w:t>
      </w:r>
      <w:proofErr w:type="spellEnd"/>
      <w:r w:rsidRPr="001A7EAB">
        <w:rPr>
          <w:rFonts w:eastAsia="Times New Roman" w:cs="Arial"/>
        </w:rPr>
        <w:t xml:space="preserve"> Coordinator of the Turkana Women Advocacy </w:t>
      </w:r>
      <w:proofErr w:type="gramStart"/>
      <w:r w:rsidRPr="001A7EAB">
        <w:rPr>
          <w:rFonts w:eastAsia="Times New Roman" w:cs="Arial"/>
        </w:rPr>
        <w:t>&amp;  Development</w:t>
      </w:r>
      <w:proofErr w:type="gramEnd"/>
      <w:r w:rsidRPr="001A7EAB">
        <w:rPr>
          <w:rFonts w:eastAsia="Times New Roman" w:cs="Arial"/>
        </w:rPr>
        <w:t xml:space="preserve"> Organization (TWADO), a network of CBOS in Turkana District, Kenya that articulates gender disparities in marginalized rural communities and aid women in obtaining their rights.</w:t>
      </w:r>
    </w:p>
    <w:p w:rsidR="0057512D" w:rsidRPr="001A7EAB" w:rsidRDefault="0057512D" w:rsidP="00F56213">
      <w:pPr>
        <w:jc w:val="both"/>
        <w:rPr>
          <w:rFonts w:eastAsia="Times New Roman" w:cs="Arial"/>
        </w:rPr>
      </w:pPr>
    </w:p>
    <w:p w:rsidR="0057512D" w:rsidRPr="001A7EAB" w:rsidRDefault="0057512D" w:rsidP="00F56213">
      <w:pPr>
        <w:jc w:val="both"/>
        <w:rPr>
          <w:rFonts w:eastAsia="Times New Roman" w:cs="Arial"/>
        </w:rPr>
      </w:pPr>
    </w:p>
    <w:p w:rsidR="0057512D" w:rsidRDefault="0057512D" w:rsidP="00F56213">
      <w:pPr>
        <w:jc w:val="both"/>
        <w:rPr>
          <w:rFonts w:eastAsia="Times New Roman" w:cs="Arial"/>
        </w:rPr>
      </w:pPr>
      <w:r w:rsidRPr="001A7EAB">
        <w:rPr>
          <w:noProof/>
        </w:rPr>
        <w:drawing>
          <wp:anchor distT="0" distB="0" distL="114300" distR="114300" simplePos="0" relativeHeight="251661312" behindDoc="0" locked="0" layoutInCell="1" allowOverlap="1" wp14:anchorId="6143BB07" wp14:editId="7E6AD3BB">
            <wp:simplePos x="0" y="0"/>
            <wp:positionH relativeFrom="column">
              <wp:posOffset>0</wp:posOffset>
            </wp:positionH>
            <wp:positionV relativeFrom="paragraph">
              <wp:posOffset>1270</wp:posOffset>
            </wp:positionV>
            <wp:extent cx="857250" cy="959485"/>
            <wp:effectExtent l="0" t="0" r="0" b="0"/>
            <wp:wrapSquare wrapText="bothSides"/>
            <wp:docPr id="3" name="Picture 3" descr="http://www.unocha.org/sites/default/files/OCHA_Category/About%20Us/USG_ERC/Kyung-whaKang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ocha.org/sites/default/files/OCHA_Category/About%20Us/USG_ERC/Kyung-whaKang_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0" cy="959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EAB">
        <w:rPr>
          <w:rFonts w:eastAsia="Times New Roman" w:cs="Arial"/>
          <w:b/>
        </w:rPr>
        <w:t>Kyung-</w:t>
      </w:r>
      <w:proofErr w:type="spellStart"/>
      <w:r w:rsidRPr="001A7EAB">
        <w:rPr>
          <w:rFonts w:eastAsia="Times New Roman" w:cs="Arial"/>
          <w:b/>
        </w:rPr>
        <w:t>wha</w:t>
      </w:r>
      <w:proofErr w:type="spellEnd"/>
      <w:r w:rsidRPr="001A7EAB">
        <w:rPr>
          <w:rFonts w:eastAsia="Times New Roman" w:cs="Arial"/>
          <w:b/>
        </w:rPr>
        <w:t xml:space="preserve"> Kang</w:t>
      </w:r>
      <w:r w:rsidRPr="001A7EAB">
        <w:rPr>
          <w:rFonts w:eastAsia="Times New Roman" w:cs="Arial"/>
        </w:rPr>
        <w:t xml:space="preserve"> is the Assistant Secretary-General and Deputy Emergency Relief Coordinator (ASG/DERC) for OCHA.  The ASG/ DERC </w:t>
      </w:r>
      <w:proofErr w:type="gramStart"/>
      <w:r w:rsidRPr="001A7EAB">
        <w:rPr>
          <w:rFonts w:eastAsia="Times New Roman" w:cs="Arial"/>
        </w:rPr>
        <w:t>is</w:t>
      </w:r>
      <w:proofErr w:type="gramEnd"/>
      <w:r w:rsidRPr="001A7EAB">
        <w:rPr>
          <w:rFonts w:eastAsia="Times New Roman" w:cs="Arial"/>
        </w:rPr>
        <w:t xml:space="preserve"> the principal advisor to the USG/ERC, with an emphasis on key policy and management issues. The ASG/DERC supports the USG/ERC (Valerie Amos) in the discharge of her responsibilities as the Secretary-General's main adviser on humanitarian issues.</w:t>
      </w:r>
    </w:p>
    <w:p w:rsidR="0057512D" w:rsidRDefault="0057512D" w:rsidP="00F56213">
      <w:pPr>
        <w:jc w:val="both"/>
        <w:rPr>
          <w:rFonts w:eastAsia="Times New Roman" w:cs="Arial"/>
        </w:rPr>
      </w:pPr>
    </w:p>
    <w:p w:rsidR="0057512D" w:rsidRPr="001A7EAB" w:rsidRDefault="0057512D" w:rsidP="00F56213">
      <w:pPr>
        <w:jc w:val="both"/>
        <w:rPr>
          <w:rFonts w:eastAsia="Times New Roman" w:cs="Arial"/>
        </w:rPr>
      </w:pPr>
    </w:p>
    <w:p w:rsidR="0057512D" w:rsidRPr="001A7EAB" w:rsidRDefault="0057512D" w:rsidP="00F56213">
      <w:pPr>
        <w:jc w:val="both"/>
        <w:rPr>
          <w:rFonts w:eastAsia="Times New Roman" w:cs="Arial"/>
        </w:rPr>
      </w:pPr>
    </w:p>
    <w:p w:rsidR="0057512D" w:rsidRPr="00EC1BC6" w:rsidRDefault="0057512D" w:rsidP="00F56213">
      <w:pPr>
        <w:jc w:val="both"/>
        <w:rPr>
          <w:rFonts w:eastAsia="Times New Roman" w:cs="Arial"/>
        </w:rPr>
      </w:pPr>
      <w:r w:rsidRPr="001A7EAB">
        <w:rPr>
          <w:noProof/>
        </w:rPr>
        <w:drawing>
          <wp:anchor distT="0" distB="0" distL="114300" distR="114300" simplePos="0" relativeHeight="251662336" behindDoc="0" locked="0" layoutInCell="1" allowOverlap="1" wp14:anchorId="6349B095" wp14:editId="1D082384">
            <wp:simplePos x="0" y="0"/>
            <wp:positionH relativeFrom="column">
              <wp:posOffset>0</wp:posOffset>
            </wp:positionH>
            <wp:positionV relativeFrom="paragraph">
              <wp:posOffset>-1905</wp:posOffset>
            </wp:positionV>
            <wp:extent cx="857250" cy="942975"/>
            <wp:effectExtent l="0" t="0" r="0" b="9525"/>
            <wp:wrapSquare wrapText="bothSides"/>
            <wp:docPr id="4" name="Picture 4" descr="Florika Fink-Hooi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rika Fink-Hooij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0" cy="942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1A7EAB">
        <w:rPr>
          <w:rFonts w:eastAsia="Times New Roman" w:cs="Arial"/>
          <w:b/>
        </w:rPr>
        <w:t>Florika</w:t>
      </w:r>
      <w:proofErr w:type="spellEnd"/>
      <w:r w:rsidRPr="001A7EAB">
        <w:rPr>
          <w:rFonts w:eastAsia="Times New Roman" w:cs="Arial"/>
          <w:b/>
        </w:rPr>
        <w:t xml:space="preserve"> Fink-</w:t>
      </w:r>
      <w:proofErr w:type="spellStart"/>
      <w:r w:rsidRPr="001A7EAB">
        <w:rPr>
          <w:rFonts w:eastAsia="Times New Roman" w:cs="Arial"/>
          <w:b/>
        </w:rPr>
        <w:t>Hooijer</w:t>
      </w:r>
      <w:proofErr w:type="spellEnd"/>
      <w:r w:rsidRPr="001A7EAB">
        <w:rPr>
          <w:rFonts w:eastAsia="Times New Roman" w:cs="Arial"/>
        </w:rPr>
        <w:t xml:space="preserve"> is the Director for Strategy, Policy and International Co-operation, for ECHO and has spent most of her career in the Commission on foreign external policy matters and in particular on crisis management and conflict prevention. Previously she was Head of Cabinet of Commissioner </w:t>
      </w:r>
      <w:proofErr w:type="spellStart"/>
      <w:r w:rsidRPr="001A7EAB">
        <w:rPr>
          <w:rFonts w:eastAsia="Times New Roman" w:cs="Arial"/>
        </w:rPr>
        <w:t>Kristalina</w:t>
      </w:r>
      <w:proofErr w:type="spellEnd"/>
      <w:r w:rsidRPr="001A7EAB">
        <w:rPr>
          <w:rFonts w:eastAsia="Times New Roman" w:cs="Arial"/>
        </w:rPr>
        <w:t xml:space="preserve"> </w:t>
      </w:r>
      <w:proofErr w:type="spellStart"/>
      <w:r w:rsidRPr="001A7EAB">
        <w:rPr>
          <w:rFonts w:eastAsia="Times New Roman" w:cs="Arial"/>
        </w:rPr>
        <w:t>Georgieva</w:t>
      </w:r>
      <w:proofErr w:type="spellEnd"/>
      <w:r w:rsidRPr="001A7EAB">
        <w:rPr>
          <w:rFonts w:eastAsia="Times New Roman" w:cs="Arial"/>
        </w:rPr>
        <w:t>, who is responsible for humanitarian aid, international cooperation and crisis response.</w:t>
      </w:r>
    </w:p>
    <w:p w:rsidR="0057512D" w:rsidRDefault="0057512D" w:rsidP="00F56213">
      <w:pPr>
        <w:jc w:val="both"/>
        <w:rPr>
          <w:rFonts w:eastAsia="Times New Roman" w:cs="Arial"/>
          <w:b/>
        </w:rPr>
      </w:pPr>
    </w:p>
    <w:p w:rsidR="0057512D" w:rsidRDefault="0057512D" w:rsidP="00F56213">
      <w:pPr>
        <w:jc w:val="both"/>
        <w:rPr>
          <w:rFonts w:eastAsia="Times New Roman" w:cs="Arial"/>
          <w:b/>
        </w:rPr>
      </w:pPr>
      <w:r w:rsidRPr="001A7EAB">
        <w:rPr>
          <w:noProof/>
        </w:rPr>
        <w:drawing>
          <wp:anchor distT="0" distB="0" distL="114300" distR="114300" simplePos="0" relativeHeight="251660288" behindDoc="0" locked="0" layoutInCell="1" allowOverlap="1" wp14:anchorId="5C473B32" wp14:editId="33B6C881">
            <wp:simplePos x="0" y="0"/>
            <wp:positionH relativeFrom="column">
              <wp:posOffset>0</wp:posOffset>
            </wp:positionH>
            <wp:positionV relativeFrom="paragraph">
              <wp:posOffset>113030</wp:posOffset>
            </wp:positionV>
            <wp:extent cx="857250" cy="932180"/>
            <wp:effectExtent l="0" t="0" r="0" b="1270"/>
            <wp:wrapSquare wrapText="bothSides"/>
            <wp:docPr id="2" name="Picture 2" descr="Jean Pierre Tranchant is a Research Fellow with the Vulnerability and Poverty Reduction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ean Pierre Tranchant is a Research Fellow with the Vulnerability and Poverty Reduction Tea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250" cy="932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512D" w:rsidRDefault="0057512D" w:rsidP="00F56213">
      <w:pPr>
        <w:jc w:val="both"/>
        <w:rPr>
          <w:rFonts w:eastAsia="Times New Roman" w:cs="Arial"/>
          <w:b/>
        </w:rPr>
      </w:pPr>
    </w:p>
    <w:p w:rsidR="0057512D" w:rsidRPr="001A7EAB" w:rsidRDefault="0057512D" w:rsidP="00F56213">
      <w:pPr>
        <w:ind w:left="1440"/>
        <w:jc w:val="both"/>
        <w:rPr>
          <w:rFonts w:eastAsia="Times New Roman" w:cs="Arial"/>
        </w:rPr>
      </w:pPr>
      <w:r w:rsidRPr="001A7EAB">
        <w:rPr>
          <w:rFonts w:eastAsia="Times New Roman" w:cs="Arial"/>
          <w:b/>
        </w:rPr>
        <w:t>Jean-Pierre Tranchant</w:t>
      </w:r>
      <w:r w:rsidRPr="001A7EAB">
        <w:rPr>
          <w:rFonts w:eastAsia="Times New Roman" w:cs="Arial"/>
        </w:rPr>
        <w:t xml:space="preserve"> </w:t>
      </w:r>
      <w:bookmarkStart w:id="0" w:name="_GoBack"/>
      <w:bookmarkEnd w:id="0"/>
      <w:r w:rsidRPr="001A7EAB">
        <w:rPr>
          <w:rFonts w:eastAsia="Times New Roman" w:cs="Arial"/>
        </w:rPr>
        <w:t xml:space="preserve">is an applied economist, </w:t>
      </w:r>
      <w:proofErr w:type="spellStart"/>
      <w:r w:rsidRPr="001A7EAB">
        <w:rPr>
          <w:rFonts w:eastAsia="Times New Roman" w:cs="Arial"/>
        </w:rPr>
        <w:t>specialised</w:t>
      </w:r>
      <w:proofErr w:type="spellEnd"/>
      <w:r w:rsidRPr="001A7EAB">
        <w:rPr>
          <w:rFonts w:eastAsia="Times New Roman" w:cs="Arial"/>
        </w:rPr>
        <w:t xml:space="preserve"> in the quantitative analysis of household surveys and cross-national data. His research interests largely pertain to the relationships between development and violent conflict.</w:t>
      </w:r>
    </w:p>
    <w:p w:rsidR="0057512D" w:rsidRPr="001A7EAB" w:rsidRDefault="0057512D" w:rsidP="00F56213">
      <w:pPr>
        <w:jc w:val="both"/>
        <w:rPr>
          <w:b/>
          <w:u w:val="single"/>
        </w:rPr>
      </w:pPr>
    </w:p>
    <w:p w:rsidR="00EC1BC6" w:rsidRPr="001A7EAB" w:rsidRDefault="00EC1BC6" w:rsidP="00F56213">
      <w:pPr>
        <w:jc w:val="both"/>
        <w:rPr>
          <w:b/>
          <w:u w:val="single"/>
        </w:rPr>
      </w:pPr>
    </w:p>
    <w:sectPr w:rsidR="00EC1BC6" w:rsidRPr="001A7EAB" w:rsidSect="00DD055B">
      <w:pgSz w:w="12240" w:h="15840"/>
      <w:pgMar w:top="54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C62" w:rsidRDefault="00381C62" w:rsidP="00804B72">
      <w:r>
        <w:separator/>
      </w:r>
    </w:p>
  </w:endnote>
  <w:endnote w:type="continuationSeparator" w:id="0">
    <w:p w:rsidR="00381C62" w:rsidRDefault="00381C62" w:rsidP="0080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C62" w:rsidRDefault="00381C62" w:rsidP="00804B72">
      <w:r>
        <w:separator/>
      </w:r>
    </w:p>
  </w:footnote>
  <w:footnote w:type="continuationSeparator" w:id="0">
    <w:p w:rsidR="00381C62" w:rsidRDefault="00381C62" w:rsidP="00804B72">
      <w:r>
        <w:continuationSeparator/>
      </w:r>
    </w:p>
  </w:footnote>
  <w:footnote w:id="1">
    <w:p w:rsidR="0037621E" w:rsidRPr="008A4470" w:rsidRDefault="0037621E" w:rsidP="0037621E">
      <w:pPr>
        <w:pStyle w:val="FootnoteText"/>
        <w:jc w:val="left"/>
        <w:rPr>
          <w:sz w:val="18"/>
          <w:szCs w:val="18"/>
        </w:rPr>
      </w:pPr>
      <w:r>
        <w:rPr>
          <w:rStyle w:val="FootnoteReference"/>
        </w:rPr>
        <w:footnoteRef/>
      </w:r>
      <w:r>
        <w:t xml:space="preserve"> </w:t>
      </w:r>
      <w:r w:rsidRPr="008A4470">
        <w:rPr>
          <w:sz w:val="18"/>
          <w:szCs w:val="18"/>
        </w:rPr>
        <w:t xml:space="preserve">The two topics suggested for the high-level panel discussions are </w:t>
      </w:r>
      <w:r w:rsidRPr="008A4470">
        <w:rPr>
          <w:i/>
          <w:sz w:val="18"/>
          <w:szCs w:val="18"/>
        </w:rPr>
        <w:t xml:space="preserve">“Humanitarian effectiveness” </w:t>
      </w:r>
      <w:r w:rsidRPr="008A4470">
        <w:rPr>
          <w:sz w:val="18"/>
          <w:szCs w:val="18"/>
        </w:rPr>
        <w:t xml:space="preserve">and </w:t>
      </w:r>
      <w:r w:rsidRPr="008A4470">
        <w:rPr>
          <w:i/>
          <w:sz w:val="18"/>
          <w:szCs w:val="18"/>
        </w:rPr>
        <w:t>“Serving the needs of people in conflict”</w:t>
      </w:r>
      <w:r w:rsidRPr="008A4470">
        <w:rPr>
          <w:sz w:val="18"/>
          <w:szCs w:val="18"/>
        </w:rPr>
        <w:t xml:space="preserve">, </w:t>
      </w:r>
      <w:r w:rsidRPr="008A4470">
        <w:rPr>
          <w:color w:val="000000" w:themeColor="text1"/>
          <w:sz w:val="18"/>
          <w:szCs w:val="18"/>
        </w:rPr>
        <w:t>in order to provide Member States with the opportunity to contribute to the discussion leading up to the World Humanitarian Summit</w:t>
      </w:r>
    </w:p>
  </w:footnote>
  <w:footnote w:id="2">
    <w:p w:rsidR="0037621E" w:rsidRPr="008A4470" w:rsidRDefault="0037621E" w:rsidP="0037621E">
      <w:pPr>
        <w:pStyle w:val="FootnoteText"/>
        <w:jc w:val="left"/>
        <w:rPr>
          <w:sz w:val="18"/>
          <w:szCs w:val="18"/>
        </w:rPr>
      </w:pPr>
      <w:r w:rsidRPr="008A4470">
        <w:rPr>
          <w:rStyle w:val="FootnoteReference"/>
          <w:sz w:val="18"/>
          <w:szCs w:val="18"/>
        </w:rPr>
        <w:footnoteRef/>
      </w:r>
      <w:r w:rsidRPr="008A4470">
        <w:rPr>
          <w:sz w:val="18"/>
          <w:szCs w:val="18"/>
        </w:rPr>
        <w:t xml:space="preserve"> </w:t>
      </w:r>
      <w:proofErr w:type="spellStart"/>
      <w:r w:rsidRPr="008A4470">
        <w:rPr>
          <w:sz w:val="18"/>
          <w:szCs w:val="18"/>
        </w:rPr>
        <w:t>Dr</w:t>
      </w:r>
      <w:proofErr w:type="spellEnd"/>
      <w:r w:rsidRPr="008A4470">
        <w:rPr>
          <w:sz w:val="18"/>
          <w:szCs w:val="18"/>
        </w:rPr>
        <w:t xml:space="preserve"> Jean-Pierre Tranchant, IDS Research Team Leader</w:t>
      </w:r>
      <w:r w:rsidR="00677502">
        <w:rPr>
          <w:sz w:val="18"/>
          <w:szCs w:val="18"/>
        </w:rPr>
        <w:t>,</w:t>
      </w:r>
      <w:r w:rsidRPr="008A4470">
        <w:rPr>
          <w:sz w:val="18"/>
          <w:szCs w:val="18"/>
        </w:rPr>
        <w:t xml:space="preserve"> will be in attendance to provide technical support </w:t>
      </w:r>
      <w:r w:rsidR="00677502">
        <w:rPr>
          <w:sz w:val="18"/>
          <w:szCs w:val="18"/>
        </w:rPr>
        <w:t>and input to Q&amp;A session</w:t>
      </w:r>
      <w:r w:rsidRPr="008A4470">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5B71"/>
    <w:multiLevelType w:val="hybridMultilevel"/>
    <w:tmpl w:val="A3384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886B4A"/>
    <w:multiLevelType w:val="hybridMultilevel"/>
    <w:tmpl w:val="FD5A2D74"/>
    <w:lvl w:ilvl="0" w:tplc="CE9E0402">
      <w:numFmt w:val="bullet"/>
      <w:lvlText w:val="•"/>
      <w:lvlJc w:val="left"/>
      <w:pPr>
        <w:ind w:left="555" w:hanging="555"/>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8324639"/>
    <w:multiLevelType w:val="hybridMultilevel"/>
    <w:tmpl w:val="92ECC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50B2F1C"/>
    <w:multiLevelType w:val="hybridMultilevel"/>
    <w:tmpl w:val="0282B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380"/>
    <w:rsid w:val="00002525"/>
    <w:rsid w:val="00067D22"/>
    <w:rsid w:val="0014182E"/>
    <w:rsid w:val="0016133D"/>
    <w:rsid w:val="001A20A5"/>
    <w:rsid w:val="001A6D61"/>
    <w:rsid w:val="001A7EAB"/>
    <w:rsid w:val="00227A29"/>
    <w:rsid w:val="002775EF"/>
    <w:rsid w:val="002C6572"/>
    <w:rsid w:val="00367D80"/>
    <w:rsid w:val="0037621E"/>
    <w:rsid w:val="00381C62"/>
    <w:rsid w:val="003D548A"/>
    <w:rsid w:val="00474C90"/>
    <w:rsid w:val="0048228B"/>
    <w:rsid w:val="004B2F0D"/>
    <w:rsid w:val="0057512D"/>
    <w:rsid w:val="00617A5A"/>
    <w:rsid w:val="00651D2B"/>
    <w:rsid w:val="00677502"/>
    <w:rsid w:val="006B7911"/>
    <w:rsid w:val="006D1CA6"/>
    <w:rsid w:val="006E0FBD"/>
    <w:rsid w:val="007353A1"/>
    <w:rsid w:val="00804B72"/>
    <w:rsid w:val="00887E7C"/>
    <w:rsid w:val="008A4470"/>
    <w:rsid w:val="00923D50"/>
    <w:rsid w:val="009D5219"/>
    <w:rsid w:val="009E26A2"/>
    <w:rsid w:val="00A306FC"/>
    <w:rsid w:val="00A53495"/>
    <w:rsid w:val="00B03809"/>
    <w:rsid w:val="00BB0B08"/>
    <w:rsid w:val="00CF3763"/>
    <w:rsid w:val="00D325B5"/>
    <w:rsid w:val="00DD055B"/>
    <w:rsid w:val="00E01B85"/>
    <w:rsid w:val="00EC1BC6"/>
    <w:rsid w:val="00F56213"/>
    <w:rsid w:val="00F61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3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380"/>
    <w:pPr>
      <w:ind w:left="720"/>
      <w:contextualSpacing/>
    </w:pPr>
  </w:style>
  <w:style w:type="character" w:customStyle="1" w:styleId="BodyText3exampleChar">
    <w:name w:val="Body Text 3 (example) Char"/>
    <w:basedOn w:val="DefaultParagraphFont"/>
    <w:link w:val="BodyText3example"/>
    <w:locked/>
    <w:rsid w:val="0014182E"/>
    <w:rPr>
      <w:rFonts w:ascii="Arial" w:hAnsi="Arial" w:cs="Arial"/>
      <w:color w:val="999999"/>
      <w:sz w:val="16"/>
      <w:szCs w:val="16"/>
    </w:rPr>
  </w:style>
  <w:style w:type="paragraph" w:customStyle="1" w:styleId="BodyText3example">
    <w:name w:val="Body Text 3 (example)"/>
    <w:basedOn w:val="BodyText3"/>
    <w:link w:val="BodyText3exampleChar"/>
    <w:rsid w:val="0014182E"/>
    <w:pPr>
      <w:spacing w:after="0"/>
      <w:ind w:left="360"/>
      <w:jc w:val="left"/>
    </w:pPr>
    <w:rPr>
      <w:rFonts w:ascii="Arial" w:hAnsi="Arial" w:cs="Arial"/>
      <w:color w:val="999999"/>
    </w:rPr>
  </w:style>
  <w:style w:type="paragraph" w:styleId="BodyText3">
    <w:name w:val="Body Text 3"/>
    <w:basedOn w:val="Normal"/>
    <w:link w:val="BodyText3Char"/>
    <w:uiPriority w:val="99"/>
    <w:semiHidden/>
    <w:unhideWhenUsed/>
    <w:rsid w:val="0014182E"/>
    <w:pPr>
      <w:spacing w:after="120"/>
    </w:pPr>
    <w:rPr>
      <w:sz w:val="16"/>
      <w:szCs w:val="16"/>
    </w:rPr>
  </w:style>
  <w:style w:type="character" w:customStyle="1" w:styleId="BodyText3Char">
    <w:name w:val="Body Text 3 Char"/>
    <w:basedOn w:val="DefaultParagraphFont"/>
    <w:link w:val="BodyText3"/>
    <w:uiPriority w:val="99"/>
    <w:semiHidden/>
    <w:rsid w:val="0014182E"/>
    <w:rPr>
      <w:sz w:val="16"/>
      <w:szCs w:val="16"/>
    </w:rPr>
  </w:style>
  <w:style w:type="paragraph" w:styleId="FootnoteText">
    <w:name w:val="footnote text"/>
    <w:basedOn w:val="Normal"/>
    <w:link w:val="FootnoteTextChar"/>
    <w:uiPriority w:val="99"/>
    <w:semiHidden/>
    <w:unhideWhenUsed/>
    <w:rsid w:val="00804B72"/>
    <w:rPr>
      <w:sz w:val="20"/>
      <w:szCs w:val="20"/>
    </w:rPr>
  </w:style>
  <w:style w:type="character" w:customStyle="1" w:styleId="FootnoteTextChar">
    <w:name w:val="Footnote Text Char"/>
    <w:basedOn w:val="DefaultParagraphFont"/>
    <w:link w:val="FootnoteText"/>
    <w:uiPriority w:val="99"/>
    <w:semiHidden/>
    <w:rsid w:val="00804B72"/>
    <w:rPr>
      <w:sz w:val="20"/>
      <w:szCs w:val="20"/>
    </w:rPr>
  </w:style>
  <w:style w:type="character" w:styleId="FootnoteReference">
    <w:name w:val="footnote reference"/>
    <w:basedOn w:val="DefaultParagraphFont"/>
    <w:uiPriority w:val="99"/>
    <w:semiHidden/>
    <w:unhideWhenUsed/>
    <w:rsid w:val="00804B72"/>
    <w:rPr>
      <w:vertAlign w:val="superscript"/>
    </w:rPr>
  </w:style>
  <w:style w:type="table" w:styleId="TableGrid">
    <w:name w:val="Table Grid"/>
    <w:basedOn w:val="TableNormal"/>
    <w:uiPriority w:val="59"/>
    <w:rsid w:val="00376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1BC6"/>
    <w:rPr>
      <w:rFonts w:ascii="Tahoma" w:hAnsi="Tahoma" w:cs="Tahoma"/>
      <w:sz w:val="16"/>
      <w:szCs w:val="16"/>
    </w:rPr>
  </w:style>
  <w:style w:type="character" w:customStyle="1" w:styleId="BalloonTextChar">
    <w:name w:val="Balloon Text Char"/>
    <w:basedOn w:val="DefaultParagraphFont"/>
    <w:link w:val="BalloonText"/>
    <w:uiPriority w:val="99"/>
    <w:semiHidden/>
    <w:rsid w:val="00EC1BC6"/>
    <w:rPr>
      <w:rFonts w:ascii="Tahoma" w:hAnsi="Tahoma" w:cs="Tahoma"/>
      <w:sz w:val="16"/>
      <w:szCs w:val="16"/>
    </w:rPr>
  </w:style>
  <w:style w:type="character" w:styleId="Hyperlink">
    <w:name w:val="Hyperlink"/>
    <w:basedOn w:val="DefaultParagraphFont"/>
    <w:uiPriority w:val="99"/>
    <w:unhideWhenUsed/>
    <w:rsid w:val="002775EF"/>
    <w:rPr>
      <w:color w:val="0000FF" w:themeColor="hyperlink"/>
      <w:u w:val="single"/>
    </w:rPr>
  </w:style>
  <w:style w:type="character" w:styleId="FollowedHyperlink">
    <w:name w:val="FollowedHyperlink"/>
    <w:basedOn w:val="DefaultParagraphFont"/>
    <w:uiPriority w:val="99"/>
    <w:semiHidden/>
    <w:unhideWhenUsed/>
    <w:rsid w:val="002775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3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380"/>
    <w:pPr>
      <w:ind w:left="720"/>
      <w:contextualSpacing/>
    </w:pPr>
  </w:style>
  <w:style w:type="character" w:customStyle="1" w:styleId="BodyText3exampleChar">
    <w:name w:val="Body Text 3 (example) Char"/>
    <w:basedOn w:val="DefaultParagraphFont"/>
    <w:link w:val="BodyText3example"/>
    <w:locked/>
    <w:rsid w:val="0014182E"/>
    <w:rPr>
      <w:rFonts w:ascii="Arial" w:hAnsi="Arial" w:cs="Arial"/>
      <w:color w:val="999999"/>
      <w:sz w:val="16"/>
      <w:szCs w:val="16"/>
    </w:rPr>
  </w:style>
  <w:style w:type="paragraph" w:customStyle="1" w:styleId="BodyText3example">
    <w:name w:val="Body Text 3 (example)"/>
    <w:basedOn w:val="BodyText3"/>
    <w:link w:val="BodyText3exampleChar"/>
    <w:rsid w:val="0014182E"/>
    <w:pPr>
      <w:spacing w:after="0"/>
      <w:ind w:left="360"/>
      <w:jc w:val="left"/>
    </w:pPr>
    <w:rPr>
      <w:rFonts w:ascii="Arial" w:hAnsi="Arial" w:cs="Arial"/>
      <w:color w:val="999999"/>
    </w:rPr>
  </w:style>
  <w:style w:type="paragraph" w:styleId="BodyText3">
    <w:name w:val="Body Text 3"/>
    <w:basedOn w:val="Normal"/>
    <w:link w:val="BodyText3Char"/>
    <w:uiPriority w:val="99"/>
    <w:semiHidden/>
    <w:unhideWhenUsed/>
    <w:rsid w:val="0014182E"/>
    <w:pPr>
      <w:spacing w:after="120"/>
    </w:pPr>
    <w:rPr>
      <w:sz w:val="16"/>
      <w:szCs w:val="16"/>
    </w:rPr>
  </w:style>
  <w:style w:type="character" w:customStyle="1" w:styleId="BodyText3Char">
    <w:name w:val="Body Text 3 Char"/>
    <w:basedOn w:val="DefaultParagraphFont"/>
    <w:link w:val="BodyText3"/>
    <w:uiPriority w:val="99"/>
    <w:semiHidden/>
    <w:rsid w:val="0014182E"/>
    <w:rPr>
      <w:sz w:val="16"/>
      <w:szCs w:val="16"/>
    </w:rPr>
  </w:style>
  <w:style w:type="paragraph" w:styleId="FootnoteText">
    <w:name w:val="footnote text"/>
    <w:basedOn w:val="Normal"/>
    <w:link w:val="FootnoteTextChar"/>
    <w:uiPriority w:val="99"/>
    <w:semiHidden/>
    <w:unhideWhenUsed/>
    <w:rsid w:val="00804B72"/>
    <w:rPr>
      <w:sz w:val="20"/>
      <w:szCs w:val="20"/>
    </w:rPr>
  </w:style>
  <w:style w:type="character" w:customStyle="1" w:styleId="FootnoteTextChar">
    <w:name w:val="Footnote Text Char"/>
    <w:basedOn w:val="DefaultParagraphFont"/>
    <w:link w:val="FootnoteText"/>
    <w:uiPriority w:val="99"/>
    <w:semiHidden/>
    <w:rsid w:val="00804B72"/>
    <w:rPr>
      <w:sz w:val="20"/>
      <w:szCs w:val="20"/>
    </w:rPr>
  </w:style>
  <w:style w:type="character" w:styleId="FootnoteReference">
    <w:name w:val="footnote reference"/>
    <w:basedOn w:val="DefaultParagraphFont"/>
    <w:uiPriority w:val="99"/>
    <w:semiHidden/>
    <w:unhideWhenUsed/>
    <w:rsid w:val="00804B72"/>
    <w:rPr>
      <w:vertAlign w:val="superscript"/>
    </w:rPr>
  </w:style>
  <w:style w:type="table" w:styleId="TableGrid">
    <w:name w:val="Table Grid"/>
    <w:basedOn w:val="TableNormal"/>
    <w:uiPriority w:val="59"/>
    <w:rsid w:val="00376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1BC6"/>
    <w:rPr>
      <w:rFonts w:ascii="Tahoma" w:hAnsi="Tahoma" w:cs="Tahoma"/>
      <w:sz w:val="16"/>
      <w:szCs w:val="16"/>
    </w:rPr>
  </w:style>
  <w:style w:type="character" w:customStyle="1" w:styleId="BalloonTextChar">
    <w:name w:val="Balloon Text Char"/>
    <w:basedOn w:val="DefaultParagraphFont"/>
    <w:link w:val="BalloonText"/>
    <w:uiPriority w:val="99"/>
    <w:semiHidden/>
    <w:rsid w:val="00EC1BC6"/>
    <w:rPr>
      <w:rFonts w:ascii="Tahoma" w:hAnsi="Tahoma" w:cs="Tahoma"/>
      <w:sz w:val="16"/>
      <w:szCs w:val="16"/>
    </w:rPr>
  </w:style>
  <w:style w:type="character" w:styleId="Hyperlink">
    <w:name w:val="Hyperlink"/>
    <w:basedOn w:val="DefaultParagraphFont"/>
    <w:uiPriority w:val="99"/>
    <w:unhideWhenUsed/>
    <w:rsid w:val="002775EF"/>
    <w:rPr>
      <w:color w:val="0000FF" w:themeColor="hyperlink"/>
      <w:u w:val="single"/>
    </w:rPr>
  </w:style>
  <w:style w:type="character" w:styleId="FollowedHyperlink">
    <w:name w:val="FollowedHyperlink"/>
    <w:basedOn w:val="DefaultParagraphFont"/>
    <w:uiPriority w:val="99"/>
    <w:semiHidden/>
    <w:unhideWhenUsed/>
    <w:rsid w:val="002775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28365">
      <w:bodyDiv w:val="1"/>
      <w:marLeft w:val="0"/>
      <w:marRight w:val="0"/>
      <w:marTop w:val="0"/>
      <w:marBottom w:val="0"/>
      <w:divBdr>
        <w:top w:val="none" w:sz="0" w:space="0" w:color="auto"/>
        <w:left w:val="none" w:sz="0" w:space="0" w:color="auto"/>
        <w:bottom w:val="none" w:sz="0" w:space="0" w:color="auto"/>
        <w:right w:val="none" w:sz="0" w:space="0" w:color="auto"/>
      </w:divBdr>
    </w:div>
    <w:div w:id="376704739">
      <w:bodyDiv w:val="1"/>
      <w:marLeft w:val="0"/>
      <w:marRight w:val="0"/>
      <w:marTop w:val="0"/>
      <w:marBottom w:val="0"/>
      <w:divBdr>
        <w:top w:val="none" w:sz="0" w:space="0" w:color="auto"/>
        <w:left w:val="none" w:sz="0" w:space="0" w:color="auto"/>
        <w:bottom w:val="none" w:sz="0" w:space="0" w:color="auto"/>
        <w:right w:val="none" w:sz="0" w:space="0" w:color="auto"/>
      </w:divBdr>
    </w:div>
    <w:div w:id="436103871">
      <w:bodyDiv w:val="1"/>
      <w:marLeft w:val="0"/>
      <w:marRight w:val="0"/>
      <w:marTop w:val="0"/>
      <w:marBottom w:val="0"/>
      <w:divBdr>
        <w:top w:val="none" w:sz="0" w:space="0" w:color="auto"/>
        <w:left w:val="none" w:sz="0" w:space="0" w:color="auto"/>
        <w:bottom w:val="none" w:sz="0" w:space="0" w:color="auto"/>
        <w:right w:val="none" w:sz="0" w:space="0" w:color="auto"/>
      </w:divBdr>
      <w:divsChild>
        <w:div w:id="146282713">
          <w:marLeft w:val="0"/>
          <w:marRight w:val="0"/>
          <w:marTop w:val="0"/>
          <w:marBottom w:val="0"/>
          <w:divBdr>
            <w:top w:val="none" w:sz="0" w:space="0" w:color="auto"/>
            <w:left w:val="none" w:sz="0" w:space="0" w:color="auto"/>
            <w:bottom w:val="none" w:sz="0" w:space="0" w:color="auto"/>
            <w:right w:val="none" w:sz="0" w:space="0" w:color="auto"/>
          </w:divBdr>
        </w:div>
        <w:div w:id="1092891033">
          <w:marLeft w:val="0"/>
          <w:marRight w:val="0"/>
          <w:marTop w:val="0"/>
          <w:marBottom w:val="0"/>
          <w:divBdr>
            <w:top w:val="none" w:sz="0" w:space="0" w:color="auto"/>
            <w:left w:val="none" w:sz="0" w:space="0" w:color="auto"/>
            <w:bottom w:val="none" w:sz="0" w:space="0" w:color="auto"/>
            <w:right w:val="none" w:sz="0" w:space="0" w:color="auto"/>
          </w:divBdr>
        </w:div>
        <w:div w:id="1315452346">
          <w:marLeft w:val="0"/>
          <w:marRight w:val="0"/>
          <w:marTop w:val="0"/>
          <w:marBottom w:val="0"/>
          <w:divBdr>
            <w:top w:val="none" w:sz="0" w:space="0" w:color="auto"/>
            <w:left w:val="none" w:sz="0" w:space="0" w:color="auto"/>
            <w:bottom w:val="none" w:sz="0" w:space="0" w:color="auto"/>
            <w:right w:val="none" w:sz="0" w:space="0" w:color="auto"/>
          </w:divBdr>
        </w:div>
        <w:div w:id="819690055">
          <w:marLeft w:val="0"/>
          <w:marRight w:val="0"/>
          <w:marTop w:val="0"/>
          <w:marBottom w:val="0"/>
          <w:divBdr>
            <w:top w:val="none" w:sz="0" w:space="0" w:color="auto"/>
            <w:left w:val="none" w:sz="0" w:space="0" w:color="auto"/>
            <w:bottom w:val="none" w:sz="0" w:space="0" w:color="auto"/>
            <w:right w:val="none" w:sz="0" w:space="0" w:color="auto"/>
          </w:divBdr>
        </w:div>
        <w:div w:id="280113663">
          <w:marLeft w:val="0"/>
          <w:marRight w:val="0"/>
          <w:marTop w:val="0"/>
          <w:marBottom w:val="0"/>
          <w:divBdr>
            <w:top w:val="none" w:sz="0" w:space="0" w:color="auto"/>
            <w:left w:val="none" w:sz="0" w:space="0" w:color="auto"/>
            <w:bottom w:val="none" w:sz="0" w:space="0" w:color="auto"/>
            <w:right w:val="none" w:sz="0" w:space="0" w:color="auto"/>
          </w:divBdr>
        </w:div>
        <w:div w:id="285278440">
          <w:marLeft w:val="0"/>
          <w:marRight w:val="0"/>
          <w:marTop w:val="0"/>
          <w:marBottom w:val="0"/>
          <w:divBdr>
            <w:top w:val="none" w:sz="0" w:space="0" w:color="auto"/>
            <w:left w:val="none" w:sz="0" w:space="0" w:color="auto"/>
            <w:bottom w:val="none" w:sz="0" w:space="0" w:color="auto"/>
            <w:right w:val="none" w:sz="0" w:space="0" w:color="auto"/>
          </w:divBdr>
        </w:div>
        <w:div w:id="1160123564">
          <w:marLeft w:val="0"/>
          <w:marRight w:val="0"/>
          <w:marTop w:val="0"/>
          <w:marBottom w:val="0"/>
          <w:divBdr>
            <w:top w:val="none" w:sz="0" w:space="0" w:color="auto"/>
            <w:left w:val="none" w:sz="0" w:space="0" w:color="auto"/>
            <w:bottom w:val="none" w:sz="0" w:space="0" w:color="auto"/>
            <w:right w:val="none" w:sz="0" w:space="0" w:color="auto"/>
          </w:divBdr>
        </w:div>
        <w:div w:id="384064958">
          <w:marLeft w:val="0"/>
          <w:marRight w:val="0"/>
          <w:marTop w:val="0"/>
          <w:marBottom w:val="0"/>
          <w:divBdr>
            <w:top w:val="none" w:sz="0" w:space="0" w:color="auto"/>
            <w:left w:val="none" w:sz="0" w:space="0" w:color="auto"/>
            <w:bottom w:val="none" w:sz="0" w:space="0" w:color="auto"/>
            <w:right w:val="none" w:sz="0" w:space="0" w:color="auto"/>
          </w:divBdr>
        </w:div>
        <w:div w:id="1532958334">
          <w:marLeft w:val="0"/>
          <w:marRight w:val="0"/>
          <w:marTop w:val="0"/>
          <w:marBottom w:val="0"/>
          <w:divBdr>
            <w:top w:val="none" w:sz="0" w:space="0" w:color="auto"/>
            <w:left w:val="none" w:sz="0" w:space="0" w:color="auto"/>
            <w:bottom w:val="none" w:sz="0" w:space="0" w:color="auto"/>
            <w:right w:val="none" w:sz="0" w:space="0" w:color="auto"/>
          </w:divBdr>
        </w:div>
        <w:div w:id="1732657910">
          <w:marLeft w:val="0"/>
          <w:marRight w:val="0"/>
          <w:marTop w:val="0"/>
          <w:marBottom w:val="0"/>
          <w:divBdr>
            <w:top w:val="none" w:sz="0" w:space="0" w:color="auto"/>
            <w:left w:val="none" w:sz="0" w:space="0" w:color="auto"/>
            <w:bottom w:val="none" w:sz="0" w:space="0" w:color="auto"/>
            <w:right w:val="none" w:sz="0" w:space="0" w:color="auto"/>
          </w:divBdr>
        </w:div>
        <w:div w:id="1670787867">
          <w:marLeft w:val="0"/>
          <w:marRight w:val="0"/>
          <w:marTop w:val="0"/>
          <w:marBottom w:val="0"/>
          <w:divBdr>
            <w:top w:val="none" w:sz="0" w:space="0" w:color="auto"/>
            <w:left w:val="none" w:sz="0" w:space="0" w:color="auto"/>
            <w:bottom w:val="none" w:sz="0" w:space="0" w:color="auto"/>
            <w:right w:val="none" w:sz="0" w:space="0" w:color="auto"/>
          </w:divBdr>
        </w:div>
      </w:divsChild>
    </w:div>
    <w:div w:id="653141249">
      <w:bodyDiv w:val="1"/>
      <w:marLeft w:val="0"/>
      <w:marRight w:val="0"/>
      <w:marTop w:val="0"/>
      <w:marBottom w:val="0"/>
      <w:divBdr>
        <w:top w:val="none" w:sz="0" w:space="0" w:color="auto"/>
        <w:left w:val="none" w:sz="0" w:space="0" w:color="auto"/>
        <w:bottom w:val="none" w:sz="0" w:space="0" w:color="auto"/>
        <w:right w:val="none" w:sz="0" w:space="0" w:color="auto"/>
      </w:divBdr>
    </w:div>
    <w:div w:id="144901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gif"/><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862F4DA0BEC7944B42E3E30C537A66E" ma:contentTypeVersion="12" ma:contentTypeDescription="Create a new document." ma:contentTypeScope="" ma:versionID="05d7e4ad508566723785bb2c4f24a800">
  <xsd:schema xmlns:xsd="http://www.w3.org/2001/XMLSchema" xmlns:xs="http://www.w3.org/2001/XMLSchema" xmlns:p="http://schemas.microsoft.com/office/2006/metadata/properties" xmlns:ns1="af747249-5d41-44a6-a9ed-ad9d33dff540" xmlns:ns2="http://schemas.microsoft.com/sharepoint/v3" xmlns:ns3="f154b4d9-7ec7-4b5e-b168-732fe2c0b380" targetNamespace="http://schemas.microsoft.com/office/2006/metadata/properties" ma:root="true" ma:fieldsID="208b90883375c264d2b3a48168535ecc" ns1:_="" ns2:_="" ns3:_="">
    <xsd:import namespace="af747249-5d41-44a6-a9ed-ad9d33dff540"/>
    <xsd:import namespace="http://schemas.microsoft.com/sharepoint/v3"/>
    <xsd:import namespace="f154b4d9-7ec7-4b5e-b168-732fe2c0b380"/>
    <xsd:element name="properties">
      <xsd:complexType>
        <xsd:sequence>
          <xsd:element name="documentManagement">
            <xsd:complexType>
              <xsd:all>
                <xsd:element ref="ns1:Document_x0020_type"/>
                <xsd:element ref="ns1:Year" minOccurs="0"/>
                <xsd:element ref="ns1:About_x0020_Us" minOccurs="0"/>
                <xsd:element ref="ns1:What_x0020_We_x0020_Do" minOccurs="0"/>
                <xsd:element ref="ns1:Coordination" minOccurs="0"/>
                <xsd:element ref="ns1:Policy" minOccurs="0"/>
                <xsd:element ref="ns1:Media_x0020_Centre" minOccurs="0"/>
                <xsd:element ref="ns2:PublishingStartDate" minOccurs="0"/>
                <xsd:element ref="ns2:PublishingExpirationDate" minOccurs="0"/>
                <xsd:element ref="ns3:Country_x0020_Office" minOccurs="0"/>
                <xsd:element ref="ns3:Regional_x0020_Offi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47249-5d41-44a6-a9ed-ad9d33dff540" elementFormDefault="qualified">
    <xsd:import namespace="http://schemas.microsoft.com/office/2006/documentManagement/types"/>
    <xsd:import namespace="http://schemas.microsoft.com/office/infopath/2007/PartnerControls"/>
    <xsd:element name="Document_x0020_type" ma:index="0" ma:displayName="Document type" ma:format="Dropdown" ma:internalName="Document_x0020_type">
      <xsd:simpleType>
        <xsd:restriction base="dms:Choice">
          <xsd:enumeration value="Agenda"/>
          <xsd:enumeration value="Annual Report"/>
          <xsd:enumeration value="Background Documentation (Basic)"/>
          <xsd:enumeration value="Background Note"/>
          <xsd:enumeration value="Briefing"/>
          <xsd:enumeration value="Case Study"/>
          <xsd:enumeration value="Contact or Contact List"/>
          <xsd:enumeration value="Country Report"/>
          <xsd:enumeration value="Discussion Paper"/>
          <xsd:enumeration value="Early Action Report"/>
          <xsd:enumeration value="Evaluation, Best Practice or Lesson Learned"/>
          <xsd:enumeration value="FAQ"/>
          <xsd:enumeration value="Financial Report"/>
          <xsd:enumeration value="Forms"/>
          <xsd:enumeration value="Guideline (non Policy Guidance)"/>
          <xsd:enumeration value="Handbook or Manual"/>
          <xsd:enumeration value="Instruction or Procedure"/>
          <xsd:enumeration value="Key Messages"/>
          <xsd:enumeration value="Map/Graphic"/>
          <xsd:enumeration value="Meeting Document (basic)"/>
          <xsd:enumeration value="Memorandum of Understanding (MoU)"/>
          <xsd:enumeration value="Newsletter"/>
          <xsd:enumeration value="Note for File"/>
          <xsd:enumeration value="Note to Management"/>
          <xsd:enumeration value="Presentation"/>
          <xsd:enumeration value="Press Briefing"/>
          <xsd:enumeration value="Press Release"/>
          <xsd:enumeration value="Regional Report"/>
          <xsd:enumeration value="Report (basic)"/>
          <xsd:enumeration value="Situation Report"/>
          <xsd:enumeration value="Speech or Statement"/>
          <xsd:enumeration value="Staffing Document (basic)"/>
          <xsd:enumeration value="Terms of Reference (TOR)"/>
          <xsd:enumeration value="Toolkit"/>
          <xsd:enumeration value="Training Material (basic)"/>
          <xsd:enumeration value="Vacancy Announcement"/>
        </xsd:restriction>
      </xsd:simpleType>
    </xsd:element>
    <xsd:element name="Year" ma:index="3" nillable="true" ma:displayName="Year" ma:format="Dropdown" ma:internalName="Year">
      <xsd:simpleType>
        <xsd:restriction base="dms:Choice">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restriction>
      </xsd:simpleType>
    </xsd:element>
    <xsd:element name="About_x0020_Us" ma:index="4" nillable="true" ma:displayName="About Us" ma:list="{25868767-ce5e-4984-94ad-941d1b1aa4e5}" ma:internalName="About_x0020_Us" ma:showField="Title" ma:web="cf078e9c-f2c0-4512-84be-595eff771c2f">
      <xsd:complexType>
        <xsd:complexContent>
          <xsd:extension base="dms:MultiChoiceLookup">
            <xsd:sequence>
              <xsd:element name="Value" type="dms:Lookup" maxOccurs="unbounded" minOccurs="0" nillable="true"/>
            </xsd:sequence>
          </xsd:extension>
        </xsd:complexContent>
      </xsd:complexType>
    </xsd:element>
    <xsd:element name="What_x0020_We_x0020_Do" ma:index="5" nillable="true" ma:displayName="What We Do" ma:list="{bd52c31d-4fab-4c7f-bf69-81f2b9f7a256}" ma:internalName="What_x0020_We_x0020_Do" ma:showField="Title" ma:web="cf078e9c-f2c0-4512-84be-595eff771c2f">
      <xsd:complexType>
        <xsd:complexContent>
          <xsd:extension base="dms:MultiChoiceLookup">
            <xsd:sequence>
              <xsd:element name="Value" type="dms:Lookup" maxOccurs="unbounded" minOccurs="0" nillable="true"/>
            </xsd:sequence>
          </xsd:extension>
        </xsd:complexContent>
      </xsd:complexType>
    </xsd:element>
    <xsd:element name="Coordination" ma:index="6" nillable="true" ma:displayName="Coordination" ma:format="Dropdown" ma:internalName="Coordination">
      <xsd:simpleType>
        <xsd:restriction base="dms:Choice">
          <xsd:enumeration value="Preparedness"/>
          <xsd:enumeration value="Response"/>
          <xsd:enumeration value="UNDAC"/>
          <xsd:enumeration value="OSOCC &amp; RDC"/>
          <xsd:enumeration value="INSARAG"/>
          <xsd:enumeration value="Surge Capacity"/>
          <xsd:enumeration value="Logistics Support"/>
          <xsd:enumeration value="UN-CMCoord"/>
          <xsd:enumeration value="Environmental Emergencies"/>
          <xsd:enumeration value="Leadership"/>
          <xsd:enumeration value="Needs Assessment"/>
          <xsd:enumeration value="Training"/>
        </xsd:restriction>
      </xsd:simpleType>
    </xsd:element>
    <xsd:element name="Policy" ma:index="7" nillable="true" ma:displayName="Policy" ma:format="Dropdown" ma:internalName="Policy">
      <xsd:simpleType>
        <xsd:restriction base="dms:Choice">
          <xsd:enumeration value="Access"/>
          <xsd:enumeration value="Displacement"/>
          <xsd:enumeration value="Evaluations of Humanitarian Response"/>
          <xsd:enumeration value="Gender Equality"/>
          <xsd:enumeration value="Humanitarian Development Nexus"/>
          <xsd:enumeration value="Humanitarian Engagement"/>
          <xsd:enumeration value="OCHA's work with Governments"/>
          <xsd:enumeration value="Protection"/>
          <xsd:enumeration value="Transition from Relief to Development"/>
        </xsd:restriction>
      </xsd:simpleType>
    </xsd:element>
    <xsd:element name="Media_x0020_Centre" ma:index="8" nillable="true" ma:displayName="Media Centre" ma:list="{27c1e005-4037-4561-91c5-429d6cf4b9e9}" ma:internalName="Media_x0020_Centr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4b4d9-7ec7-4b5e-b168-732fe2c0b380" elementFormDefault="qualified">
    <xsd:import namespace="http://schemas.microsoft.com/office/2006/documentManagement/types"/>
    <xsd:import namespace="http://schemas.microsoft.com/office/infopath/2007/PartnerControls"/>
    <xsd:element name="Country_x0020_Office" ma:index="17" nillable="true" ma:displayName="Country Office" ma:description="The Country Office where this content was created" ma:list="{c0089e3a-3dbb-4eab-8f7d-25cc34671373}" ma:internalName="Country_x0020_Office" ma:showField="Title" ma:web="cf078e9c-f2c0-4512-84be-595eff771c2f">
      <xsd:simpleType>
        <xsd:restriction base="dms:Lookup"/>
      </xsd:simpleType>
    </xsd:element>
    <xsd:element name="Regional_x0020_Office" ma:index="18" nillable="true" ma:displayName="Regional Office" ma:description="The Regional Office where this content was created" ma:list="{596852b7-0523-4f9c-a600-30a44bd9a987}" ma:internalName="Regional_x0020_Office" ma:readOnly="false" ma:showField="Title" ma:web="cf078e9c-f2c0-4512-84be-595eff771c2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What_x0020_We_x0020_Do xmlns="af747249-5d41-44a6-a9ed-ad9d33dff540">
      <Value>2</Value>
    </What_x0020_We_x0020_Do>
    <About_x0020_Us xmlns="af747249-5d41-44a6-a9ed-ad9d33dff540"/>
    <Country_x0020_Office xmlns="f154b4d9-7ec7-4b5e-b168-732fe2c0b380" xsi:nil="true"/>
    <Regional_x0020_Office xmlns="f154b4d9-7ec7-4b5e-b168-732fe2c0b380" xsi:nil="true"/>
    <Coordination xmlns="af747249-5d41-44a6-a9ed-ad9d33dff540" xsi:nil="true"/>
    <Media_x0020_Centre xmlns="af747249-5d41-44a6-a9ed-ad9d33dff540"/>
    <PublishingExpirationDate xmlns="http://schemas.microsoft.com/sharepoint/v3" xsi:nil="true"/>
    <Year xmlns="af747249-5d41-44a6-a9ed-ad9d33dff540">2014</Year>
    <PublishingStartDate xmlns="http://schemas.microsoft.com/sharepoint/v3" xsi:nil="true"/>
    <Document_x0020_type xmlns="af747249-5d41-44a6-a9ed-ad9d33dff540">Background Documentation (Basic)</Document_x0020_type>
    <Policy xmlns="af747249-5d41-44a6-a9ed-ad9d33dff540" xsi:nil="true"/>
  </documentManagement>
</p:properties>
</file>

<file path=customXml/itemProps1.xml><?xml version="1.0" encoding="utf-8"?>
<ds:datastoreItem xmlns:ds="http://schemas.openxmlformats.org/officeDocument/2006/customXml" ds:itemID="{A557DB00-D4C7-4898-86BA-BA7F33CF34ED}"/>
</file>

<file path=customXml/itemProps2.xml><?xml version="1.0" encoding="utf-8"?>
<ds:datastoreItem xmlns:ds="http://schemas.openxmlformats.org/officeDocument/2006/customXml" ds:itemID="{602CDE39-1529-490A-B05D-21C9B7CFCD87}"/>
</file>

<file path=customXml/itemProps3.xml><?xml version="1.0" encoding="utf-8"?>
<ds:datastoreItem xmlns:ds="http://schemas.openxmlformats.org/officeDocument/2006/customXml" ds:itemID="{86D8CB32-EB09-4C58-8137-384D4D79F5E0}"/>
</file>

<file path=customXml/itemProps4.xml><?xml version="1.0" encoding="utf-8"?>
<ds:datastoreItem xmlns:ds="http://schemas.openxmlformats.org/officeDocument/2006/customXml" ds:itemID="{C9EF853D-A468-447D-880B-898BE507826E}"/>
</file>

<file path=docProps/app.xml><?xml version="1.0" encoding="utf-8"?>
<Properties xmlns="http://schemas.openxmlformats.org/officeDocument/2006/extended-properties" xmlns:vt="http://schemas.openxmlformats.org/officeDocument/2006/docPropsVTypes">
  <Template>Normal</Template>
  <TotalTime>8</TotalTime>
  <Pages>2</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GEP on Humanitarian Outcomes - Final Concept Note</dc:title>
  <dc:creator>David Coffey</dc:creator>
  <cp:lastModifiedBy>David Coffey</cp:lastModifiedBy>
  <cp:revision>3</cp:revision>
  <cp:lastPrinted>2014-06-18T16:03:00Z</cp:lastPrinted>
  <dcterms:created xsi:type="dcterms:W3CDTF">2014-06-18T16:03:00Z</dcterms:created>
  <dcterms:modified xsi:type="dcterms:W3CDTF">2014-06-18T21:46:00Z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0x010100D862F4DA0BEC7944B42E3E30C537A66E</vt:lpwstr>
  </property>
</Properties>
</file>